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DB7" w:rsidRPr="006B789F" w:rsidRDefault="00DC2DB7" w:rsidP="00DC2DB7">
      <w:pPr>
        <w:spacing w:after="0" w:line="240" w:lineRule="auto"/>
        <w:ind w:right="342"/>
        <w:jc w:val="right"/>
        <w:rPr>
          <w:rFonts w:ascii="Cambria" w:hAnsi="Cambria" w:cs="Times New Roman"/>
          <w:szCs w:val="24"/>
        </w:rPr>
      </w:pPr>
      <w:r>
        <w:rPr>
          <w:rFonts w:ascii="Cambria" w:eastAsia="Times New Roman" w:hAnsi="Cambria" w:cs="Times New Roman"/>
          <w:noProof/>
          <w:sz w:val="20"/>
          <w:szCs w:val="24"/>
          <w:lang w:eastAsia="bg-BG"/>
        </w:rPr>
        <w:drawing>
          <wp:anchor distT="0" distB="0" distL="114300" distR="114300" simplePos="0" relativeHeight="251672576" behindDoc="0" locked="0" layoutInCell="1" allowOverlap="1">
            <wp:simplePos x="0" y="0"/>
            <wp:positionH relativeFrom="column">
              <wp:posOffset>4966335</wp:posOffset>
            </wp:positionH>
            <wp:positionV relativeFrom="paragraph">
              <wp:posOffset>134620</wp:posOffset>
            </wp:positionV>
            <wp:extent cx="972185" cy="643255"/>
            <wp:effectExtent l="19050" t="19050" r="18415" b="23495"/>
            <wp:wrapSquare wrapText="bothSides"/>
            <wp:docPr id="8"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8"/>
                    <a:srcRect/>
                    <a:stretch>
                      <a:fillRect/>
                    </a:stretch>
                  </pic:blipFill>
                  <pic:spPr bwMode="auto">
                    <a:xfrm>
                      <a:off x="0" y="0"/>
                      <a:ext cx="972185" cy="643255"/>
                    </a:xfrm>
                    <a:prstGeom prst="rect">
                      <a:avLst/>
                    </a:prstGeom>
                    <a:noFill/>
                    <a:ln w="9525" cmpd="sng">
                      <a:solidFill>
                        <a:srgbClr val="000000"/>
                      </a:solidFill>
                      <a:miter lim="800000"/>
                      <a:headEnd/>
                      <a:tailEnd/>
                    </a:ln>
                  </pic:spPr>
                </pic:pic>
              </a:graphicData>
            </a:graphic>
          </wp:anchor>
        </w:drawing>
      </w:r>
      <w:r>
        <w:rPr>
          <w:rFonts w:ascii="Cambria" w:eastAsia="Times New Roman" w:hAnsi="Cambria" w:cs="Times New Roman"/>
          <w:noProof/>
          <w:sz w:val="20"/>
          <w:szCs w:val="24"/>
          <w:lang w:eastAsia="bg-BG"/>
        </w:rPr>
        <w:drawing>
          <wp:anchor distT="0" distB="0" distL="114300" distR="114300" simplePos="0" relativeHeight="251671552" behindDoc="0" locked="0" layoutInCell="1" allowOverlap="1">
            <wp:simplePos x="0" y="0"/>
            <wp:positionH relativeFrom="column">
              <wp:posOffset>3961130</wp:posOffset>
            </wp:positionH>
            <wp:positionV relativeFrom="paragraph">
              <wp:posOffset>138430</wp:posOffset>
            </wp:positionV>
            <wp:extent cx="895350" cy="668655"/>
            <wp:effectExtent l="19050" t="0" r="0" b="0"/>
            <wp:wrapSquare wrapText="bothSides"/>
            <wp:docPr id="16"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cstate="print"/>
                    <a:srcRect/>
                    <a:stretch>
                      <a:fillRect/>
                    </a:stretch>
                  </pic:blipFill>
                  <pic:spPr bwMode="auto">
                    <a:xfrm>
                      <a:off x="0" y="0"/>
                      <a:ext cx="895350" cy="668655"/>
                    </a:xfrm>
                    <a:prstGeom prst="rect">
                      <a:avLst/>
                    </a:prstGeom>
                    <a:noFill/>
                    <a:ln w="9525">
                      <a:noFill/>
                      <a:miter lim="800000"/>
                      <a:headEnd/>
                      <a:tailEnd/>
                    </a:ln>
                  </pic:spPr>
                </pic:pic>
              </a:graphicData>
            </a:graphic>
          </wp:anchor>
        </w:drawing>
      </w:r>
      <w:r>
        <w:rPr>
          <w:rFonts w:ascii="Cambria" w:eastAsia="Times New Roman" w:hAnsi="Cambria" w:cs="Times New Roman"/>
          <w:noProof/>
          <w:sz w:val="20"/>
          <w:szCs w:val="24"/>
          <w:lang w:eastAsia="bg-BG"/>
        </w:rPr>
        <w:drawing>
          <wp:anchor distT="0" distB="0" distL="114300" distR="114300" simplePos="0" relativeHeight="251673600" behindDoc="0" locked="0" layoutInCell="1" allowOverlap="1">
            <wp:simplePos x="0" y="0"/>
            <wp:positionH relativeFrom="column">
              <wp:posOffset>2003425</wp:posOffset>
            </wp:positionH>
            <wp:positionV relativeFrom="paragraph">
              <wp:posOffset>111760</wp:posOffset>
            </wp:positionV>
            <wp:extent cx="1891030" cy="763905"/>
            <wp:effectExtent l="19050" t="0" r="0" b="0"/>
            <wp:wrapSquare wrapText="bothSides"/>
            <wp:docPr id="15"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pic:cNvPicPr>
                      <a:picLocks noChangeAspect="1" noChangeArrowheads="1"/>
                    </pic:cNvPicPr>
                  </pic:nvPicPr>
                  <pic:blipFill>
                    <a:blip r:embed="rId10"/>
                    <a:srcRect l="17035" t="15169" r="15656" b="66850"/>
                    <a:stretch>
                      <a:fillRect/>
                    </a:stretch>
                  </pic:blipFill>
                  <pic:spPr bwMode="auto">
                    <a:xfrm>
                      <a:off x="0" y="0"/>
                      <a:ext cx="1891030" cy="763905"/>
                    </a:xfrm>
                    <a:prstGeom prst="rect">
                      <a:avLst/>
                    </a:prstGeom>
                    <a:noFill/>
                    <a:ln w="9525">
                      <a:noFill/>
                      <a:miter lim="800000"/>
                      <a:headEnd/>
                      <a:tailEnd/>
                    </a:ln>
                  </pic:spPr>
                </pic:pic>
              </a:graphicData>
            </a:graphic>
          </wp:anchor>
        </w:drawing>
      </w:r>
      <w:r>
        <w:rPr>
          <w:noProof/>
          <w:lang w:eastAsia="bg-BG"/>
        </w:rPr>
        <w:drawing>
          <wp:anchor distT="0" distB="0" distL="114300" distR="114300" simplePos="0" relativeHeight="251674624" behindDoc="1" locked="0" layoutInCell="1" allowOverlap="1">
            <wp:simplePos x="0" y="0"/>
            <wp:positionH relativeFrom="column">
              <wp:posOffset>-101600</wp:posOffset>
            </wp:positionH>
            <wp:positionV relativeFrom="paragraph">
              <wp:posOffset>102235</wp:posOffset>
            </wp:positionV>
            <wp:extent cx="2219325" cy="742950"/>
            <wp:effectExtent l="0" t="0" r="0" b="0"/>
            <wp:wrapTight wrapText="bothSides">
              <wp:wrapPolygon edited="0">
                <wp:start x="371" y="2769"/>
                <wp:lineTo x="556" y="21046"/>
                <wp:lineTo x="10012" y="21046"/>
                <wp:lineTo x="14462" y="20492"/>
                <wp:lineTo x="20209" y="15508"/>
                <wp:lineTo x="20395" y="8862"/>
                <wp:lineTo x="19282" y="7754"/>
                <wp:lineTo x="10012" y="2769"/>
                <wp:lineTo x="371" y="2769"/>
              </wp:wrapPolygon>
            </wp:wrapTight>
            <wp:docPr id="9" name="Картина 753318" descr="E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753318" descr="ESF.png"/>
                    <pic:cNvPicPr>
                      <a:picLocks noChangeAspect="1" noChangeArrowheads="1"/>
                    </pic:cNvPicPr>
                  </pic:nvPicPr>
                  <pic:blipFill>
                    <a:blip r:embed="rId11"/>
                    <a:srcRect b="16049"/>
                    <a:stretch>
                      <a:fillRect/>
                    </a:stretch>
                  </pic:blipFill>
                  <pic:spPr bwMode="auto">
                    <a:xfrm>
                      <a:off x="0" y="0"/>
                      <a:ext cx="2219325" cy="742950"/>
                    </a:xfrm>
                    <a:prstGeom prst="rect">
                      <a:avLst/>
                    </a:prstGeom>
                    <a:noFill/>
                    <a:ln w="9525">
                      <a:noFill/>
                      <a:miter lim="800000"/>
                      <a:headEnd/>
                      <a:tailEnd/>
                    </a:ln>
                  </pic:spPr>
                </pic:pic>
              </a:graphicData>
            </a:graphic>
          </wp:anchor>
        </w:drawing>
      </w:r>
      <w:r w:rsidRPr="006B789F">
        <w:rPr>
          <w:rFonts w:ascii="Cambria" w:hAnsi="Cambria" w:cs="Times New Roman"/>
          <w:szCs w:val="24"/>
        </w:rPr>
        <w:tab/>
      </w:r>
    </w:p>
    <w:p w:rsidR="00DC2DB7" w:rsidRPr="00587481" w:rsidRDefault="00DC2DB7" w:rsidP="00DC2DB7">
      <w:pPr>
        <w:tabs>
          <w:tab w:val="left" w:pos="1843"/>
          <w:tab w:val="left" w:pos="3402"/>
          <w:tab w:val="left" w:pos="3544"/>
          <w:tab w:val="center" w:pos="4536"/>
          <w:tab w:val="right" w:pos="9072"/>
        </w:tabs>
        <w:ind w:hanging="284"/>
        <w:rPr>
          <w:rFonts w:ascii="Cambria" w:eastAsia="Calibri" w:hAnsi="Cambria"/>
        </w:rPr>
      </w:pPr>
      <w:r w:rsidRPr="00587481">
        <w:rPr>
          <w:rFonts w:ascii="Cambria" w:eastAsia="Calibri" w:hAnsi="Cambria"/>
        </w:rPr>
        <w:tab/>
      </w:r>
    </w:p>
    <w:p w:rsidR="00DC2DB7" w:rsidRDefault="00DC2DB7" w:rsidP="00DC2DB7">
      <w:pPr>
        <w:tabs>
          <w:tab w:val="center" w:pos="8647"/>
          <w:tab w:val="right" w:pos="9072"/>
        </w:tabs>
        <w:spacing w:after="0"/>
        <w:ind w:right="-1"/>
        <w:jc w:val="center"/>
        <w:rPr>
          <w:rFonts w:ascii="Cambria" w:eastAsia="Calibri" w:hAnsi="Cambria"/>
          <w:b/>
          <w:spacing w:val="20"/>
          <w:sz w:val="28"/>
          <w:szCs w:val="28"/>
        </w:rPr>
      </w:pPr>
      <w:r w:rsidRPr="00D66929">
        <w:rPr>
          <w:rFonts w:ascii="Cambria" w:eastAsia="Calibri" w:hAnsi="Cambria"/>
          <w:b/>
          <w:spacing w:val="20"/>
          <w:sz w:val="28"/>
          <w:szCs w:val="28"/>
          <w:lang w:val="ru-RU"/>
        </w:rPr>
        <w:t xml:space="preserve">СДРУЖЕНИЕ С НЕСТОПАНСКА ЦЕЛ  </w:t>
      </w:r>
    </w:p>
    <w:p w:rsidR="00DC2DB7" w:rsidRPr="00C24D98" w:rsidRDefault="00DC2DB7" w:rsidP="00DC2DB7">
      <w:pPr>
        <w:tabs>
          <w:tab w:val="center" w:pos="8647"/>
          <w:tab w:val="right" w:pos="9072"/>
        </w:tabs>
        <w:spacing w:after="0"/>
        <w:ind w:right="-1"/>
        <w:jc w:val="center"/>
        <w:rPr>
          <w:lang w:val="ru-RU"/>
        </w:rPr>
      </w:pPr>
      <w:r w:rsidRPr="00D66929">
        <w:rPr>
          <w:rFonts w:ascii="Cambria" w:eastAsia="Calibri" w:hAnsi="Cambria"/>
          <w:b/>
          <w:spacing w:val="20"/>
          <w:sz w:val="28"/>
          <w:szCs w:val="28"/>
          <w:lang w:val="ru-RU"/>
        </w:rPr>
        <w:t>“МЕСТНА ИНИЦИАТИВНА ГРУПА КИРКОВО - ЗЛАТОГРАД”</w:t>
      </w:r>
    </w:p>
    <w:p w:rsidR="00DC2DB7" w:rsidRPr="00D66929" w:rsidRDefault="00DC2DB7" w:rsidP="00DC2DB7">
      <w:pPr>
        <w:pStyle w:val="a4"/>
        <w:rPr>
          <w:lang w:val="ru-RU"/>
        </w:rPr>
      </w:pPr>
    </w:p>
    <w:p w:rsidR="00A2595A" w:rsidRPr="00DC2DB7" w:rsidRDefault="00A2595A" w:rsidP="008119B6">
      <w:pPr>
        <w:spacing w:line="240" w:lineRule="auto"/>
        <w:rPr>
          <w:rFonts w:asciiTheme="majorHAnsi" w:hAnsiTheme="majorHAnsi"/>
          <w:b/>
          <w:bCs/>
          <w:sz w:val="28"/>
          <w:szCs w:val="28"/>
          <w:lang w:val="ru-RU"/>
        </w:rPr>
      </w:pPr>
    </w:p>
    <w:p w:rsidR="00A2595A" w:rsidRPr="003315F7" w:rsidRDefault="003315F7" w:rsidP="003315F7">
      <w:pPr>
        <w:spacing w:after="0" w:line="240" w:lineRule="auto"/>
        <w:jc w:val="both"/>
        <w:rPr>
          <w:rFonts w:asciiTheme="majorHAnsi" w:hAnsiTheme="majorHAnsi"/>
          <w:b/>
          <w:bCs/>
          <w:i/>
          <w:sz w:val="24"/>
          <w:szCs w:val="28"/>
        </w:rPr>
      </w:pPr>
      <w:r>
        <w:rPr>
          <w:rFonts w:asciiTheme="majorHAnsi" w:hAnsiTheme="majorHAnsi"/>
          <w:bCs/>
          <w:i/>
          <w:sz w:val="24"/>
          <w:szCs w:val="28"/>
        </w:rPr>
        <w:t xml:space="preserve">Пълният комплект на  </w:t>
      </w:r>
      <w:r w:rsidR="002343CD">
        <w:rPr>
          <w:rFonts w:asciiTheme="majorHAnsi" w:hAnsiTheme="majorHAnsi"/>
          <w:bCs/>
          <w:i/>
          <w:sz w:val="24"/>
          <w:szCs w:val="28"/>
        </w:rPr>
        <w:t xml:space="preserve"> Документи </w:t>
      </w:r>
      <w:r>
        <w:rPr>
          <w:rFonts w:asciiTheme="majorHAnsi" w:hAnsiTheme="majorHAnsi"/>
          <w:bCs/>
          <w:i/>
          <w:sz w:val="24"/>
          <w:szCs w:val="28"/>
        </w:rPr>
        <w:t xml:space="preserve">за кандидатстване   </w:t>
      </w:r>
      <w:r w:rsidR="002343CD">
        <w:rPr>
          <w:rFonts w:asciiTheme="majorHAnsi" w:hAnsiTheme="majorHAnsi"/>
          <w:bCs/>
          <w:i/>
          <w:sz w:val="24"/>
          <w:szCs w:val="28"/>
        </w:rPr>
        <w:t xml:space="preserve">по чл. 26 </w:t>
      </w:r>
      <w:r w:rsidR="002343CD" w:rsidRPr="002343CD">
        <w:rPr>
          <w:rFonts w:asciiTheme="majorHAnsi" w:hAnsiTheme="majorHAnsi"/>
          <w:bCs/>
          <w:i/>
          <w:sz w:val="24"/>
          <w:szCs w:val="28"/>
        </w:rPr>
        <w:t xml:space="preserve">от ЗУСЕСИФ,  вкл. </w:t>
      </w:r>
      <w:r w:rsidR="002352E2">
        <w:rPr>
          <w:rFonts w:asciiTheme="majorHAnsi" w:hAnsiTheme="majorHAnsi"/>
          <w:bCs/>
          <w:i/>
          <w:sz w:val="24"/>
          <w:szCs w:val="28"/>
        </w:rPr>
        <w:t xml:space="preserve">Условия за кандидатстване и  приложимите към тях документи </w:t>
      </w:r>
      <w:r w:rsidR="002343CD">
        <w:rPr>
          <w:rFonts w:asciiTheme="majorHAnsi" w:hAnsiTheme="majorHAnsi"/>
          <w:bCs/>
          <w:i/>
          <w:sz w:val="24"/>
          <w:szCs w:val="28"/>
        </w:rPr>
        <w:t xml:space="preserve">за попълване и за информация, са </w:t>
      </w:r>
      <w:r>
        <w:rPr>
          <w:rFonts w:asciiTheme="majorHAnsi" w:hAnsiTheme="majorHAnsi"/>
          <w:bCs/>
          <w:i/>
          <w:sz w:val="24"/>
          <w:szCs w:val="28"/>
        </w:rPr>
        <w:t xml:space="preserve">утвърдени </w:t>
      </w:r>
      <w:r w:rsidR="002343CD">
        <w:rPr>
          <w:rFonts w:asciiTheme="majorHAnsi" w:hAnsiTheme="majorHAnsi"/>
          <w:bCs/>
          <w:i/>
          <w:sz w:val="24"/>
          <w:szCs w:val="28"/>
        </w:rPr>
        <w:t xml:space="preserve"> </w:t>
      </w:r>
      <w:r w:rsidR="00A2595A" w:rsidRPr="00AE5CD3">
        <w:rPr>
          <w:rFonts w:asciiTheme="majorHAnsi" w:hAnsiTheme="majorHAnsi"/>
          <w:bCs/>
          <w:i/>
          <w:sz w:val="24"/>
          <w:szCs w:val="28"/>
        </w:rPr>
        <w:t xml:space="preserve">с </w:t>
      </w:r>
      <w:r w:rsidR="004777BF">
        <w:rPr>
          <w:rFonts w:asciiTheme="majorHAnsi" w:hAnsiTheme="majorHAnsi"/>
          <w:b/>
          <w:bCs/>
          <w:i/>
          <w:sz w:val="24"/>
          <w:szCs w:val="28"/>
        </w:rPr>
        <w:t>Р</w:t>
      </w:r>
      <w:r w:rsidR="00A2595A" w:rsidRPr="003315F7">
        <w:rPr>
          <w:rFonts w:asciiTheme="majorHAnsi" w:hAnsiTheme="majorHAnsi"/>
          <w:b/>
          <w:bCs/>
          <w:i/>
          <w:sz w:val="24"/>
          <w:szCs w:val="28"/>
        </w:rPr>
        <w:t>ешение №</w:t>
      </w:r>
      <w:r w:rsidR="00A2595A" w:rsidRPr="00AE5CD3">
        <w:rPr>
          <w:rFonts w:asciiTheme="majorHAnsi" w:hAnsiTheme="majorHAnsi"/>
          <w:bCs/>
          <w:i/>
          <w:sz w:val="24"/>
          <w:szCs w:val="28"/>
        </w:rPr>
        <w:t xml:space="preserve"> </w:t>
      </w:r>
      <w:r w:rsidR="00A2595A" w:rsidRPr="003315F7">
        <w:rPr>
          <w:rFonts w:asciiTheme="majorHAnsi" w:hAnsiTheme="majorHAnsi"/>
          <w:b/>
          <w:bCs/>
          <w:i/>
          <w:sz w:val="24"/>
          <w:szCs w:val="28"/>
        </w:rPr>
        <w:t>УС-</w:t>
      </w:r>
      <w:r w:rsidRPr="003315F7">
        <w:rPr>
          <w:rFonts w:asciiTheme="majorHAnsi" w:hAnsiTheme="majorHAnsi"/>
          <w:b/>
          <w:bCs/>
          <w:i/>
          <w:sz w:val="24"/>
          <w:szCs w:val="28"/>
        </w:rPr>
        <w:t>6</w:t>
      </w:r>
      <w:r w:rsidR="00A2595A" w:rsidRPr="003315F7">
        <w:rPr>
          <w:rFonts w:asciiTheme="majorHAnsi" w:hAnsiTheme="majorHAnsi"/>
          <w:b/>
          <w:bCs/>
          <w:i/>
          <w:sz w:val="24"/>
          <w:szCs w:val="28"/>
        </w:rPr>
        <w:t>.</w:t>
      </w:r>
      <w:r w:rsidRPr="003315F7">
        <w:rPr>
          <w:rFonts w:asciiTheme="majorHAnsi" w:hAnsiTheme="majorHAnsi"/>
          <w:b/>
          <w:bCs/>
          <w:i/>
          <w:sz w:val="24"/>
          <w:szCs w:val="28"/>
        </w:rPr>
        <w:t>48</w:t>
      </w:r>
      <w:r w:rsidR="00A2595A" w:rsidRPr="003315F7">
        <w:rPr>
          <w:rFonts w:asciiTheme="majorHAnsi" w:hAnsiTheme="majorHAnsi"/>
          <w:b/>
          <w:bCs/>
          <w:i/>
          <w:sz w:val="24"/>
          <w:szCs w:val="28"/>
        </w:rPr>
        <w:t>/</w:t>
      </w:r>
      <w:r w:rsidRPr="003315F7">
        <w:rPr>
          <w:rFonts w:asciiTheme="majorHAnsi" w:hAnsiTheme="majorHAnsi"/>
          <w:b/>
          <w:bCs/>
          <w:i/>
          <w:sz w:val="24"/>
          <w:szCs w:val="28"/>
        </w:rPr>
        <w:t>17</w:t>
      </w:r>
      <w:r w:rsidR="00A2595A" w:rsidRPr="003315F7">
        <w:rPr>
          <w:rFonts w:asciiTheme="majorHAnsi" w:hAnsiTheme="majorHAnsi"/>
          <w:b/>
          <w:bCs/>
          <w:i/>
          <w:sz w:val="24"/>
          <w:szCs w:val="28"/>
        </w:rPr>
        <w:t>.</w:t>
      </w:r>
      <w:r w:rsidRPr="003315F7">
        <w:rPr>
          <w:rFonts w:asciiTheme="majorHAnsi" w:hAnsiTheme="majorHAnsi"/>
          <w:b/>
          <w:bCs/>
          <w:i/>
          <w:sz w:val="24"/>
          <w:szCs w:val="28"/>
        </w:rPr>
        <w:t>10</w:t>
      </w:r>
      <w:r w:rsidR="00A2595A" w:rsidRPr="003315F7">
        <w:rPr>
          <w:rFonts w:asciiTheme="majorHAnsi" w:hAnsiTheme="majorHAnsi"/>
          <w:b/>
          <w:bCs/>
          <w:i/>
          <w:sz w:val="24"/>
          <w:szCs w:val="28"/>
        </w:rPr>
        <w:t>.2018</w:t>
      </w:r>
      <w:r>
        <w:rPr>
          <w:rFonts w:asciiTheme="majorHAnsi" w:hAnsiTheme="majorHAnsi"/>
          <w:b/>
          <w:bCs/>
          <w:i/>
          <w:sz w:val="24"/>
          <w:szCs w:val="28"/>
        </w:rPr>
        <w:t xml:space="preserve"> </w:t>
      </w:r>
      <w:r w:rsidRPr="003315F7">
        <w:rPr>
          <w:rFonts w:asciiTheme="majorHAnsi" w:hAnsiTheme="majorHAnsi"/>
          <w:b/>
          <w:bCs/>
          <w:i/>
          <w:sz w:val="24"/>
          <w:szCs w:val="28"/>
        </w:rPr>
        <w:t>на  У</w:t>
      </w:r>
      <w:r>
        <w:rPr>
          <w:rFonts w:asciiTheme="majorHAnsi" w:hAnsiTheme="majorHAnsi"/>
          <w:b/>
          <w:bCs/>
          <w:i/>
          <w:sz w:val="24"/>
          <w:szCs w:val="28"/>
        </w:rPr>
        <w:t xml:space="preserve">правителния Съвет </w:t>
      </w:r>
      <w:r w:rsidRPr="003315F7">
        <w:rPr>
          <w:rFonts w:asciiTheme="majorHAnsi" w:hAnsiTheme="majorHAnsi"/>
          <w:b/>
          <w:bCs/>
          <w:i/>
          <w:sz w:val="24"/>
          <w:szCs w:val="28"/>
        </w:rPr>
        <w:t xml:space="preserve">   и Заповед №3-14/17.10.2018 на Председателя на УС на  МИГ.</w:t>
      </w:r>
    </w:p>
    <w:p w:rsidR="00A2595A" w:rsidRPr="00AE5CD3" w:rsidRDefault="00A2595A" w:rsidP="008119B6">
      <w:pPr>
        <w:spacing w:after="0" w:line="240" w:lineRule="auto"/>
        <w:rPr>
          <w:rFonts w:asciiTheme="majorHAnsi" w:hAnsiTheme="majorHAnsi"/>
          <w:b/>
          <w:bCs/>
          <w:sz w:val="28"/>
          <w:szCs w:val="28"/>
        </w:rPr>
      </w:pPr>
    </w:p>
    <w:p w:rsidR="0061037F" w:rsidRPr="00AE5CD3" w:rsidRDefault="0061037F" w:rsidP="008119B6">
      <w:pPr>
        <w:spacing w:after="0" w:line="240" w:lineRule="auto"/>
        <w:rPr>
          <w:rFonts w:asciiTheme="majorHAnsi" w:hAnsiTheme="majorHAnsi"/>
          <w:b/>
          <w:bCs/>
          <w:sz w:val="28"/>
          <w:szCs w:val="28"/>
        </w:rPr>
      </w:pPr>
    </w:p>
    <w:p w:rsidR="006D361E" w:rsidRPr="00AE5CD3" w:rsidRDefault="006D361E" w:rsidP="008119B6">
      <w:pPr>
        <w:spacing w:after="0" w:line="240" w:lineRule="auto"/>
        <w:rPr>
          <w:rFonts w:asciiTheme="majorHAnsi" w:hAnsiTheme="majorHAnsi"/>
          <w:b/>
          <w:bCs/>
          <w:sz w:val="28"/>
          <w:szCs w:val="28"/>
        </w:rPr>
      </w:pPr>
    </w:p>
    <w:p w:rsidR="0061037F" w:rsidRPr="00AE5CD3" w:rsidRDefault="0061037F" w:rsidP="008119B6">
      <w:pPr>
        <w:spacing w:after="0" w:line="240" w:lineRule="auto"/>
        <w:rPr>
          <w:rFonts w:asciiTheme="majorHAnsi" w:hAnsiTheme="majorHAnsi"/>
          <w:b/>
          <w:bCs/>
          <w:sz w:val="28"/>
          <w:szCs w:val="28"/>
        </w:rPr>
      </w:pPr>
    </w:p>
    <w:p w:rsidR="00A2595A" w:rsidRPr="00AE5CD3" w:rsidRDefault="00A2595A" w:rsidP="008119B6">
      <w:pPr>
        <w:spacing w:line="240" w:lineRule="auto"/>
        <w:jc w:val="center"/>
        <w:rPr>
          <w:rFonts w:asciiTheme="majorHAnsi" w:hAnsiTheme="majorHAnsi"/>
          <w:b/>
          <w:bCs/>
          <w:sz w:val="40"/>
          <w:szCs w:val="28"/>
        </w:rPr>
      </w:pPr>
      <w:r w:rsidRPr="00AE5CD3">
        <w:rPr>
          <w:rFonts w:asciiTheme="majorHAnsi" w:hAnsiTheme="majorHAnsi"/>
          <w:b/>
          <w:bCs/>
          <w:sz w:val="40"/>
          <w:szCs w:val="28"/>
        </w:rPr>
        <w:t>УСЛОВИЯ ЗА КАНДИДАТСТВАНЕ</w:t>
      </w:r>
    </w:p>
    <w:p w:rsidR="00EB76BC" w:rsidRPr="00AE5CD3" w:rsidRDefault="00A2595A" w:rsidP="008119B6">
      <w:pPr>
        <w:spacing w:line="240" w:lineRule="auto"/>
        <w:jc w:val="center"/>
        <w:rPr>
          <w:rFonts w:asciiTheme="majorHAnsi" w:hAnsiTheme="majorHAnsi"/>
          <w:b/>
          <w:bCs/>
          <w:sz w:val="28"/>
          <w:szCs w:val="28"/>
        </w:rPr>
      </w:pPr>
      <w:r w:rsidRPr="00AE5CD3">
        <w:rPr>
          <w:rFonts w:asciiTheme="majorHAnsi" w:hAnsiTheme="majorHAnsi"/>
          <w:b/>
          <w:bCs/>
          <w:sz w:val="28"/>
          <w:szCs w:val="28"/>
        </w:rPr>
        <w:t>с проектни предложения за предоставяне на безвъзмездна финансова помощ по Оперативна програма „Иновации и конкурентоспособност“ 2014-2020 в изпълнение на подхода  Водено от общностите местно развитие</w:t>
      </w:r>
    </w:p>
    <w:p w:rsidR="0061037F" w:rsidRPr="00AE5CD3" w:rsidRDefault="0061037F" w:rsidP="008119B6">
      <w:pPr>
        <w:spacing w:line="240" w:lineRule="auto"/>
        <w:jc w:val="center"/>
        <w:rPr>
          <w:rFonts w:asciiTheme="majorHAnsi" w:hAnsiTheme="majorHAnsi"/>
          <w:b/>
          <w:bCs/>
          <w:sz w:val="28"/>
          <w:szCs w:val="28"/>
        </w:rPr>
      </w:pPr>
    </w:p>
    <w:p w:rsidR="0061037F" w:rsidRPr="00AE5CD3" w:rsidRDefault="0061037F" w:rsidP="008119B6">
      <w:pPr>
        <w:pBdr>
          <w:top w:val="single" w:sz="4" w:space="1" w:color="auto"/>
          <w:left w:val="single" w:sz="4" w:space="4" w:color="auto"/>
          <w:bottom w:val="single" w:sz="4" w:space="1" w:color="auto"/>
          <w:right w:val="single" w:sz="4" w:space="4" w:color="auto"/>
        </w:pBdr>
        <w:spacing w:line="240" w:lineRule="auto"/>
        <w:jc w:val="center"/>
        <w:rPr>
          <w:rFonts w:asciiTheme="majorHAnsi" w:hAnsiTheme="majorHAnsi"/>
          <w:b/>
          <w:bCs/>
          <w:sz w:val="40"/>
          <w:szCs w:val="28"/>
        </w:rPr>
      </w:pPr>
      <w:r w:rsidRPr="00AE5CD3">
        <w:rPr>
          <w:rFonts w:asciiTheme="majorHAnsi" w:hAnsiTheme="majorHAnsi"/>
          <w:b/>
          <w:bCs/>
          <w:sz w:val="40"/>
          <w:szCs w:val="28"/>
        </w:rPr>
        <w:t xml:space="preserve">Процедура на подбор на проекти </w:t>
      </w:r>
    </w:p>
    <w:p w:rsidR="0061037F" w:rsidRPr="00AE5CD3" w:rsidRDefault="0061037F" w:rsidP="008119B6">
      <w:pPr>
        <w:tabs>
          <w:tab w:val="left" w:pos="2177"/>
        </w:tabs>
        <w:spacing w:after="240" w:line="240" w:lineRule="auto"/>
        <w:jc w:val="center"/>
        <w:rPr>
          <w:rFonts w:asciiTheme="majorHAnsi" w:hAnsiTheme="majorHAnsi"/>
          <w:b/>
          <w:sz w:val="32"/>
          <w:szCs w:val="32"/>
        </w:rPr>
      </w:pPr>
      <w:r w:rsidRPr="00AE5CD3">
        <w:rPr>
          <w:rFonts w:asciiTheme="majorHAnsi" w:hAnsiTheme="majorHAnsi"/>
          <w:b/>
          <w:sz w:val="32"/>
          <w:szCs w:val="32"/>
        </w:rPr>
        <w:t>BG16RFOP002-</w:t>
      </w:r>
      <w:r w:rsidR="00C96B66" w:rsidRPr="00404EA3">
        <w:rPr>
          <w:rFonts w:asciiTheme="majorHAnsi" w:hAnsiTheme="majorHAnsi"/>
          <w:b/>
          <w:sz w:val="32"/>
          <w:szCs w:val="32"/>
          <w:lang w:val="ru-RU"/>
        </w:rPr>
        <w:t xml:space="preserve">2.033 </w:t>
      </w:r>
      <w:r w:rsidRPr="00AE5CD3">
        <w:rPr>
          <w:rFonts w:asciiTheme="majorHAnsi" w:hAnsiTheme="majorHAnsi"/>
          <w:b/>
          <w:sz w:val="32"/>
          <w:szCs w:val="32"/>
        </w:rPr>
        <w:t xml:space="preserve">МИГ Кирково-Златоград </w:t>
      </w:r>
    </w:p>
    <w:p w:rsidR="0061037F" w:rsidRPr="00AE5CD3" w:rsidRDefault="00E371A1" w:rsidP="008119B6">
      <w:pPr>
        <w:tabs>
          <w:tab w:val="left" w:pos="2177"/>
        </w:tabs>
        <w:spacing w:after="240" w:line="240" w:lineRule="auto"/>
        <w:jc w:val="center"/>
        <w:rPr>
          <w:rFonts w:asciiTheme="majorHAnsi" w:hAnsiTheme="majorHAnsi"/>
          <w:b/>
          <w:i/>
          <w:sz w:val="32"/>
          <w:szCs w:val="32"/>
          <w:u w:val="single"/>
        </w:rPr>
      </w:pPr>
      <w:r>
        <w:rPr>
          <w:rFonts w:asciiTheme="majorHAnsi" w:hAnsiTheme="majorHAnsi"/>
          <w:b/>
          <w:i/>
          <w:sz w:val="32"/>
          <w:szCs w:val="32"/>
          <w:u w:val="single"/>
        </w:rPr>
        <w:t xml:space="preserve">ИК 2,2 </w:t>
      </w:r>
      <w:r w:rsidR="0061037F" w:rsidRPr="00AE5CD3">
        <w:rPr>
          <w:rFonts w:asciiTheme="majorHAnsi" w:hAnsiTheme="majorHAnsi"/>
          <w:b/>
          <w:i/>
          <w:sz w:val="32"/>
          <w:szCs w:val="32"/>
          <w:u w:val="single"/>
        </w:rPr>
        <w:t xml:space="preserve">„Подобряване на производствения капацитет в МСП </w:t>
      </w:r>
    </w:p>
    <w:p w:rsidR="0061037F" w:rsidRPr="00AE5CD3" w:rsidRDefault="0061037F" w:rsidP="008119B6">
      <w:pPr>
        <w:tabs>
          <w:tab w:val="left" w:pos="2177"/>
        </w:tabs>
        <w:spacing w:after="240" w:line="240" w:lineRule="auto"/>
        <w:jc w:val="center"/>
        <w:rPr>
          <w:rFonts w:asciiTheme="majorHAnsi" w:hAnsiTheme="majorHAnsi"/>
          <w:b/>
          <w:i/>
          <w:sz w:val="32"/>
          <w:szCs w:val="32"/>
          <w:u w:val="single"/>
        </w:rPr>
      </w:pPr>
      <w:r w:rsidRPr="00AE5CD3">
        <w:rPr>
          <w:rFonts w:asciiTheme="majorHAnsi" w:hAnsiTheme="majorHAnsi"/>
          <w:b/>
          <w:i/>
          <w:sz w:val="32"/>
          <w:szCs w:val="32"/>
          <w:u w:val="single"/>
        </w:rPr>
        <w:t>на територията на МИГ Кирково-Златоград“</w:t>
      </w:r>
    </w:p>
    <w:p w:rsidR="006D361E" w:rsidRPr="00AE5CD3" w:rsidRDefault="006D361E" w:rsidP="008119B6">
      <w:pPr>
        <w:tabs>
          <w:tab w:val="left" w:pos="2177"/>
        </w:tabs>
        <w:spacing w:after="240" w:line="240" w:lineRule="auto"/>
        <w:jc w:val="center"/>
        <w:rPr>
          <w:rFonts w:asciiTheme="majorHAnsi" w:hAnsiTheme="majorHAnsi"/>
          <w:b/>
          <w:i/>
          <w:sz w:val="32"/>
          <w:szCs w:val="32"/>
          <w:u w:val="single"/>
        </w:rPr>
      </w:pPr>
    </w:p>
    <w:p w:rsidR="00872C12" w:rsidRPr="00AE5CD3" w:rsidRDefault="00872C12" w:rsidP="008119B6">
      <w:pPr>
        <w:tabs>
          <w:tab w:val="left" w:pos="2177"/>
        </w:tabs>
        <w:spacing w:after="240" w:line="240" w:lineRule="auto"/>
        <w:jc w:val="center"/>
        <w:rPr>
          <w:rFonts w:asciiTheme="majorHAnsi" w:hAnsiTheme="majorHAnsi"/>
          <w:b/>
          <w:i/>
          <w:sz w:val="32"/>
          <w:szCs w:val="32"/>
          <w:u w:val="single"/>
        </w:rPr>
      </w:pPr>
    </w:p>
    <w:p w:rsidR="00872C12" w:rsidRPr="00AE5CD3" w:rsidRDefault="00872C12" w:rsidP="008119B6">
      <w:pPr>
        <w:tabs>
          <w:tab w:val="left" w:pos="2177"/>
        </w:tabs>
        <w:spacing w:after="240" w:line="240" w:lineRule="auto"/>
        <w:jc w:val="center"/>
        <w:rPr>
          <w:rFonts w:asciiTheme="majorHAnsi" w:hAnsiTheme="majorHAnsi"/>
          <w:b/>
          <w:i/>
          <w:sz w:val="32"/>
          <w:szCs w:val="32"/>
          <w:u w:val="single"/>
        </w:rPr>
      </w:pPr>
      <w:r w:rsidRPr="00AE5CD3">
        <w:rPr>
          <w:rFonts w:asciiTheme="majorHAnsi" w:hAnsiTheme="majorHAnsi"/>
          <w:b/>
          <w:i/>
          <w:noProof/>
          <w:sz w:val="32"/>
          <w:szCs w:val="32"/>
          <w:u w:val="single"/>
          <w:lang w:eastAsia="bg-BG"/>
        </w:rPr>
        <w:drawing>
          <wp:anchor distT="0" distB="0" distL="114300" distR="114300" simplePos="0" relativeHeight="251669504" behindDoc="0" locked="0" layoutInCell="1" allowOverlap="1">
            <wp:simplePos x="0" y="0"/>
            <wp:positionH relativeFrom="column">
              <wp:posOffset>288925</wp:posOffset>
            </wp:positionH>
            <wp:positionV relativeFrom="paragraph">
              <wp:posOffset>180340</wp:posOffset>
            </wp:positionV>
            <wp:extent cx="1903730" cy="680085"/>
            <wp:effectExtent l="19050" t="0" r="1270" b="0"/>
            <wp:wrapSquare wrapText="bothSides"/>
            <wp:docPr id="6" name="Картина 1"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2" cstate="print"/>
                    <a:stretch>
                      <a:fillRect/>
                    </a:stretch>
                  </pic:blipFill>
                  <pic:spPr>
                    <a:xfrm>
                      <a:off x="0" y="0"/>
                      <a:ext cx="1903730" cy="680085"/>
                    </a:xfrm>
                    <a:prstGeom prst="rect">
                      <a:avLst/>
                    </a:prstGeom>
                  </pic:spPr>
                </pic:pic>
              </a:graphicData>
            </a:graphic>
          </wp:anchor>
        </w:drawing>
      </w:r>
      <w:r w:rsidRPr="00AE5CD3">
        <w:rPr>
          <w:rFonts w:asciiTheme="majorHAnsi" w:hAnsiTheme="majorHAnsi"/>
          <w:b/>
          <w:i/>
          <w:noProof/>
          <w:sz w:val="32"/>
          <w:szCs w:val="32"/>
          <w:u w:val="single"/>
          <w:lang w:eastAsia="bg-BG"/>
        </w:rPr>
        <w:drawing>
          <wp:anchor distT="0" distB="0" distL="114300" distR="114300" simplePos="0" relativeHeight="251667456" behindDoc="0" locked="0" layoutInCell="1" allowOverlap="1">
            <wp:simplePos x="0" y="0"/>
            <wp:positionH relativeFrom="column">
              <wp:posOffset>2213610</wp:posOffset>
            </wp:positionH>
            <wp:positionV relativeFrom="paragraph">
              <wp:posOffset>180340</wp:posOffset>
            </wp:positionV>
            <wp:extent cx="1897380" cy="680085"/>
            <wp:effectExtent l="19050" t="0" r="7620" b="0"/>
            <wp:wrapSquare wrapText="bothSides"/>
            <wp:docPr id="5" name="Картина 0"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3" cstate="print"/>
                    <a:stretch>
                      <a:fillRect/>
                    </a:stretch>
                  </pic:blipFill>
                  <pic:spPr>
                    <a:xfrm>
                      <a:off x="0" y="0"/>
                      <a:ext cx="1897380" cy="680085"/>
                    </a:xfrm>
                    <a:prstGeom prst="rect">
                      <a:avLst/>
                    </a:prstGeom>
                  </pic:spPr>
                </pic:pic>
              </a:graphicData>
            </a:graphic>
          </wp:anchor>
        </w:drawing>
      </w:r>
      <w:r w:rsidRPr="00AE5CD3">
        <w:rPr>
          <w:rFonts w:asciiTheme="majorHAnsi" w:hAnsiTheme="majorHAnsi"/>
          <w:b/>
          <w:i/>
          <w:noProof/>
          <w:sz w:val="32"/>
          <w:szCs w:val="32"/>
          <w:u w:val="single"/>
          <w:lang w:eastAsia="bg-BG"/>
        </w:rPr>
        <w:drawing>
          <wp:anchor distT="0" distB="0" distL="114300" distR="114300" simplePos="0" relativeHeight="251668480" behindDoc="0" locked="0" layoutInCell="1" allowOverlap="1">
            <wp:simplePos x="0" y="0"/>
            <wp:positionH relativeFrom="column">
              <wp:posOffset>4116705</wp:posOffset>
            </wp:positionH>
            <wp:positionV relativeFrom="paragraph">
              <wp:posOffset>180340</wp:posOffset>
            </wp:positionV>
            <wp:extent cx="1734820" cy="680085"/>
            <wp:effectExtent l="19050" t="0" r="0" b="0"/>
            <wp:wrapSquare wrapText="bothSides"/>
            <wp:docPr id="2" name="Картина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cstate="print"/>
                    <a:srcRect l="19538" t="20262" b="19059"/>
                    <a:stretch>
                      <a:fillRect/>
                    </a:stretch>
                  </pic:blipFill>
                  <pic:spPr>
                    <a:xfrm>
                      <a:off x="0" y="0"/>
                      <a:ext cx="1734820" cy="680085"/>
                    </a:xfrm>
                    <a:prstGeom prst="rect">
                      <a:avLst/>
                    </a:prstGeom>
                  </pic:spPr>
                </pic:pic>
              </a:graphicData>
            </a:graphic>
          </wp:anchor>
        </w:drawing>
      </w:r>
    </w:p>
    <w:p w:rsidR="005A1B22" w:rsidRPr="00AE5CD3" w:rsidRDefault="005A1B22" w:rsidP="008119B6">
      <w:pPr>
        <w:pBdr>
          <w:top w:val="single" w:sz="4" w:space="1" w:color="auto"/>
          <w:left w:val="single" w:sz="4" w:space="4" w:color="auto"/>
          <w:bottom w:val="single" w:sz="4" w:space="1" w:color="auto"/>
          <w:right w:val="single" w:sz="4" w:space="4" w:color="auto"/>
        </w:pBdr>
        <w:spacing w:line="240" w:lineRule="auto"/>
        <w:rPr>
          <w:rFonts w:asciiTheme="majorHAnsi" w:eastAsia="MS Gothic" w:hAnsiTheme="majorHAnsi"/>
          <w:b/>
          <w:bCs/>
          <w:color w:val="5B9BD5"/>
          <w:sz w:val="28"/>
          <w:szCs w:val="26"/>
        </w:rPr>
      </w:pPr>
      <w:r w:rsidRPr="00AE5CD3">
        <w:rPr>
          <w:rFonts w:asciiTheme="majorHAnsi" w:eastAsia="MS Gothic" w:hAnsiTheme="majorHAnsi"/>
          <w:b/>
          <w:bCs/>
          <w:color w:val="5B9BD5"/>
          <w:sz w:val="28"/>
          <w:szCs w:val="26"/>
        </w:rPr>
        <w:lastRenderedPageBreak/>
        <w:t>СЪДЪРЖАНИЕ</w:t>
      </w:r>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r w:rsidRPr="002663C2">
        <w:rPr>
          <w:rFonts w:asciiTheme="majorHAnsi" w:hAnsiTheme="majorHAnsi"/>
          <w:sz w:val="22"/>
          <w:szCs w:val="22"/>
        </w:rPr>
        <w:fldChar w:fldCharType="begin"/>
      </w:r>
      <w:r w:rsidR="005A1B22" w:rsidRPr="00AE5CD3">
        <w:rPr>
          <w:rFonts w:asciiTheme="majorHAnsi" w:hAnsiTheme="majorHAnsi"/>
          <w:sz w:val="22"/>
          <w:szCs w:val="22"/>
        </w:rPr>
        <w:instrText xml:space="preserve"> TOC \o "1-3" \h \z \u </w:instrText>
      </w:r>
      <w:r w:rsidRPr="002663C2">
        <w:rPr>
          <w:rFonts w:asciiTheme="majorHAnsi" w:hAnsiTheme="majorHAnsi"/>
          <w:sz w:val="22"/>
          <w:szCs w:val="22"/>
        </w:rPr>
        <w:fldChar w:fldCharType="separate"/>
      </w:r>
      <w:hyperlink w:anchor="_Toc514334621" w:history="1">
        <w:r w:rsidR="005A1B22" w:rsidRPr="00AE5CD3">
          <w:rPr>
            <w:rStyle w:val="af3"/>
            <w:rFonts w:asciiTheme="majorHAnsi" w:hAnsiTheme="majorHAnsi"/>
            <w:noProof/>
            <w:sz w:val="22"/>
            <w:szCs w:val="22"/>
          </w:rPr>
          <w:t>1. Наименование на програмата</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_Toc514334621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3</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22" w:history="1">
        <w:r w:rsidR="005A1B22" w:rsidRPr="00AE5CD3">
          <w:rPr>
            <w:rStyle w:val="af3"/>
            <w:rFonts w:asciiTheme="majorHAnsi" w:hAnsiTheme="majorHAnsi"/>
            <w:noProof/>
            <w:sz w:val="22"/>
            <w:szCs w:val="22"/>
          </w:rPr>
          <w:t>2. Наименование на приоритетната ос</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_Toc514334622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3</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23" w:history="1">
        <w:r w:rsidR="005A1B22" w:rsidRPr="00AE5CD3">
          <w:rPr>
            <w:rStyle w:val="af3"/>
            <w:rFonts w:asciiTheme="majorHAnsi" w:hAnsiTheme="majorHAnsi"/>
            <w:noProof/>
            <w:sz w:val="22"/>
            <w:szCs w:val="22"/>
          </w:rPr>
          <w:t>3. Наименование на процедурата</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_Toc514334623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3</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24" w:history="1">
        <w:r w:rsidR="005A1B22" w:rsidRPr="00AE5CD3">
          <w:rPr>
            <w:rStyle w:val="af3"/>
            <w:rFonts w:asciiTheme="majorHAnsi" w:hAnsiTheme="majorHAnsi"/>
            <w:noProof/>
            <w:sz w:val="22"/>
            <w:szCs w:val="22"/>
          </w:rPr>
          <w:t>4. Измерения по кодове</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_Toc514334624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3</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25" w:history="1">
        <w:r w:rsidR="005A1B22" w:rsidRPr="00AE5CD3">
          <w:rPr>
            <w:rStyle w:val="af3"/>
            <w:rFonts w:asciiTheme="majorHAnsi" w:hAnsiTheme="majorHAnsi"/>
            <w:noProof/>
            <w:sz w:val="22"/>
            <w:szCs w:val="22"/>
          </w:rPr>
          <w:t>5. Териториален обхват</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_Toc514334625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3</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26" w:history="1">
        <w:r w:rsidR="005A1B22" w:rsidRPr="00AE5CD3">
          <w:rPr>
            <w:rStyle w:val="af3"/>
            <w:rFonts w:asciiTheme="majorHAnsi" w:hAnsiTheme="majorHAnsi"/>
            <w:noProof/>
            <w:sz w:val="22"/>
            <w:szCs w:val="22"/>
          </w:rPr>
          <w:t>6. Цели на предоставяната безвъзмездна финансова помощ по процедурата и очаквани резултати</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_Toc514334626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3</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27" w:history="1">
        <w:r w:rsidR="005A1B22" w:rsidRPr="00AE5CD3">
          <w:rPr>
            <w:rStyle w:val="af3"/>
            <w:rFonts w:asciiTheme="majorHAnsi" w:hAnsiTheme="majorHAnsi"/>
            <w:noProof/>
            <w:sz w:val="22"/>
            <w:szCs w:val="22"/>
          </w:rPr>
          <w:t>7. Индикатори</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_Toc514334627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5</w:t>
        </w:r>
        <w:r w:rsidRPr="00AE5CD3">
          <w:rPr>
            <w:rFonts w:asciiTheme="majorHAnsi" w:hAnsiTheme="majorHAnsi"/>
            <w:noProof/>
            <w:webHidden/>
            <w:sz w:val="22"/>
            <w:szCs w:val="22"/>
          </w:rPr>
          <w:fldChar w:fldCharType="end"/>
        </w:r>
      </w:hyperlink>
    </w:p>
    <w:p w:rsidR="005A1B22" w:rsidRPr="00AE5CD3" w:rsidRDefault="002663C2" w:rsidP="00872C12">
      <w:pPr>
        <w:pStyle w:val="32"/>
        <w:rPr>
          <w:rFonts w:eastAsia="Times New Roman" w:cs="Times New Roman"/>
          <w:lang w:eastAsia="bg-BG"/>
        </w:rPr>
      </w:pPr>
      <w:hyperlink w:anchor="_Toc514334628" w:history="1">
        <w:r w:rsidR="005A1B22" w:rsidRPr="00AE5CD3">
          <w:rPr>
            <w:rStyle w:val="af3"/>
          </w:rPr>
          <w:t>7.1. Индикатори за резултат и изпълнение съгласно оперативната програма</w:t>
        </w:r>
        <w:r w:rsidR="005A1B22" w:rsidRPr="00AE5CD3">
          <w:rPr>
            <w:webHidden/>
          </w:rPr>
          <w:tab/>
        </w:r>
        <w:r w:rsidRPr="00AE5CD3">
          <w:rPr>
            <w:webHidden/>
          </w:rPr>
          <w:fldChar w:fldCharType="begin"/>
        </w:r>
        <w:r w:rsidR="005A1B22" w:rsidRPr="00AE5CD3">
          <w:rPr>
            <w:webHidden/>
          </w:rPr>
          <w:instrText xml:space="preserve"> PAGEREF _Toc514334628 \h </w:instrText>
        </w:r>
        <w:r w:rsidRPr="00AE5CD3">
          <w:rPr>
            <w:webHidden/>
          </w:rPr>
        </w:r>
        <w:r w:rsidRPr="00AE5CD3">
          <w:rPr>
            <w:webHidden/>
          </w:rPr>
          <w:fldChar w:fldCharType="separate"/>
        </w:r>
        <w:r w:rsidR="00DC2DB7">
          <w:rPr>
            <w:webHidden/>
          </w:rPr>
          <w:t>5</w:t>
        </w:r>
        <w:r w:rsidRPr="00AE5CD3">
          <w:rPr>
            <w:webHidden/>
          </w:rPr>
          <w:fldChar w:fldCharType="end"/>
        </w:r>
      </w:hyperlink>
    </w:p>
    <w:p w:rsidR="005A1B22" w:rsidRPr="00AE5CD3" w:rsidRDefault="002663C2" w:rsidP="00872C12">
      <w:pPr>
        <w:pStyle w:val="32"/>
        <w:rPr>
          <w:rFonts w:eastAsia="Times New Roman" w:cs="Times New Roman"/>
          <w:lang w:eastAsia="bg-BG"/>
        </w:rPr>
      </w:pPr>
      <w:hyperlink w:anchor="_Toc514334629" w:history="1">
        <w:r w:rsidR="005A1B22" w:rsidRPr="00AE5CD3">
          <w:rPr>
            <w:rStyle w:val="af3"/>
          </w:rPr>
          <w:t>7.2. Индивидуални за процедурата и проектите индикатори за изпълнение</w:t>
        </w:r>
        <w:r w:rsidR="005A1B22" w:rsidRPr="00AE5CD3">
          <w:rPr>
            <w:webHidden/>
          </w:rPr>
          <w:tab/>
        </w:r>
        <w:r w:rsidRPr="00AE5CD3">
          <w:rPr>
            <w:webHidden/>
          </w:rPr>
          <w:fldChar w:fldCharType="begin"/>
        </w:r>
        <w:r w:rsidR="005A1B22" w:rsidRPr="00AE5CD3">
          <w:rPr>
            <w:webHidden/>
          </w:rPr>
          <w:instrText xml:space="preserve"> PAGEREF _Toc514334629 \h </w:instrText>
        </w:r>
        <w:r w:rsidRPr="00AE5CD3">
          <w:rPr>
            <w:webHidden/>
          </w:rPr>
        </w:r>
        <w:r w:rsidRPr="00AE5CD3">
          <w:rPr>
            <w:webHidden/>
          </w:rPr>
          <w:fldChar w:fldCharType="separate"/>
        </w:r>
        <w:r w:rsidR="00DC2DB7">
          <w:rPr>
            <w:webHidden/>
          </w:rPr>
          <w:t>6</w:t>
        </w:r>
        <w:r w:rsidRPr="00AE5CD3">
          <w:rPr>
            <w:webHidden/>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30" w:history="1">
        <w:r w:rsidR="005A1B22" w:rsidRPr="00AE5CD3">
          <w:rPr>
            <w:rStyle w:val="af3"/>
            <w:rFonts w:asciiTheme="majorHAnsi" w:hAnsiTheme="majorHAnsi"/>
            <w:noProof/>
            <w:sz w:val="22"/>
            <w:szCs w:val="22"/>
          </w:rPr>
          <w:t>8. Общ размер на безвъзмездната финансова помощ по процедурата</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_Toc514334630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7</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31" w:history="1">
        <w:r w:rsidR="005A1B22" w:rsidRPr="00AE5CD3">
          <w:rPr>
            <w:rStyle w:val="af3"/>
            <w:rFonts w:asciiTheme="majorHAnsi" w:hAnsiTheme="majorHAnsi"/>
            <w:noProof/>
            <w:sz w:val="22"/>
            <w:szCs w:val="22"/>
          </w:rPr>
          <w:t>9. Минимален и максимален размер на безвъзмездната финансова помощ за конкретен проект</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_Toc514334631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7</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32" w:history="1">
        <w:r w:rsidR="005A1B22" w:rsidRPr="00AE5CD3">
          <w:rPr>
            <w:rStyle w:val="af3"/>
            <w:rFonts w:asciiTheme="majorHAnsi" w:hAnsiTheme="majorHAnsi"/>
            <w:noProof/>
            <w:sz w:val="22"/>
            <w:szCs w:val="22"/>
          </w:rPr>
          <w:t>10. Процент  на  съфинансиране</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_Toc514334632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8</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33" w:history="1">
        <w:r w:rsidR="005A1B22" w:rsidRPr="00AE5CD3">
          <w:rPr>
            <w:rStyle w:val="af3"/>
            <w:rFonts w:asciiTheme="majorHAnsi" w:hAnsiTheme="majorHAnsi"/>
            <w:noProof/>
            <w:sz w:val="22"/>
            <w:szCs w:val="22"/>
          </w:rPr>
          <w:t>11. Допустими кандидати</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_Toc514334633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9</w:t>
        </w:r>
        <w:r w:rsidRPr="00AE5CD3">
          <w:rPr>
            <w:rFonts w:asciiTheme="majorHAnsi" w:hAnsiTheme="majorHAnsi"/>
            <w:noProof/>
            <w:webHidden/>
            <w:sz w:val="22"/>
            <w:szCs w:val="22"/>
          </w:rPr>
          <w:fldChar w:fldCharType="end"/>
        </w:r>
      </w:hyperlink>
    </w:p>
    <w:p w:rsidR="005A1B22" w:rsidRPr="00AE5CD3" w:rsidRDefault="002663C2" w:rsidP="00872C12">
      <w:pPr>
        <w:pStyle w:val="32"/>
        <w:rPr>
          <w:rFonts w:eastAsia="Times New Roman" w:cs="Times New Roman"/>
          <w:lang w:eastAsia="bg-BG"/>
        </w:rPr>
      </w:pPr>
      <w:hyperlink w:anchor="_Toc514334634" w:history="1">
        <w:r w:rsidR="005A1B22" w:rsidRPr="00AE5CD3">
          <w:rPr>
            <w:rStyle w:val="af3"/>
          </w:rPr>
          <w:t>11.1. Критерии за допустимост на кандидатите</w:t>
        </w:r>
        <w:r w:rsidR="005A1B22" w:rsidRPr="00AE5CD3">
          <w:rPr>
            <w:webHidden/>
          </w:rPr>
          <w:tab/>
        </w:r>
        <w:r w:rsidRPr="00AE5CD3">
          <w:rPr>
            <w:webHidden/>
          </w:rPr>
          <w:fldChar w:fldCharType="begin"/>
        </w:r>
        <w:r w:rsidR="005A1B22" w:rsidRPr="00AE5CD3">
          <w:rPr>
            <w:webHidden/>
          </w:rPr>
          <w:instrText xml:space="preserve"> PAGEREF _Toc514334634 \h </w:instrText>
        </w:r>
        <w:r w:rsidRPr="00AE5CD3">
          <w:rPr>
            <w:webHidden/>
          </w:rPr>
        </w:r>
        <w:r w:rsidRPr="00AE5CD3">
          <w:rPr>
            <w:webHidden/>
          </w:rPr>
          <w:fldChar w:fldCharType="separate"/>
        </w:r>
        <w:r w:rsidR="00DC2DB7">
          <w:rPr>
            <w:webHidden/>
          </w:rPr>
          <w:t>9</w:t>
        </w:r>
        <w:r w:rsidRPr="00AE5CD3">
          <w:rPr>
            <w:webHidden/>
          </w:rPr>
          <w:fldChar w:fldCharType="end"/>
        </w:r>
      </w:hyperlink>
    </w:p>
    <w:p w:rsidR="005A1B22" w:rsidRPr="00AE5CD3" w:rsidRDefault="002663C2" w:rsidP="00872C12">
      <w:pPr>
        <w:pStyle w:val="32"/>
        <w:rPr>
          <w:rFonts w:eastAsia="Times New Roman" w:cs="Times New Roman"/>
          <w:lang w:eastAsia="bg-BG"/>
        </w:rPr>
      </w:pPr>
      <w:hyperlink w:anchor="_Toc514334635" w:history="1">
        <w:r w:rsidR="005A1B22" w:rsidRPr="00AE5CD3">
          <w:rPr>
            <w:rStyle w:val="af3"/>
          </w:rPr>
          <w:t>11.2. Критерии за недопустимост на кандидатите</w:t>
        </w:r>
        <w:r w:rsidR="005A1B22" w:rsidRPr="00AE5CD3">
          <w:rPr>
            <w:webHidden/>
          </w:rPr>
          <w:tab/>
        </w:r>
        <w:r w:rsidRPr="00AE5CD3">
          <w:rPr>
            <w:webHidden/>
          </w:rPr>
          <w:fldChar w:fldCharType="begin"/>
        </w:r>
        <w:r w:rsidR="005A1B22" w:rsidRPr="00AE5CD3">
          <w:rPr>
            <w:webHidden/>
          </w:rPr>
          <w:instrText xml:space="preserve"> PAGEREF _Toc514334635 \h </w:instrText>
        </w:r>
        <w:r w:rsidRPr="00AE5CD3">
          <w:rPr>
            <w:webHidden/>
          </w:rPr>
        </w:r>
        <w:r w:rsidRPr="00AE5CD3">
          <w:rPr>
            <w:webHidden/>
          </w:rPr>
          <w:fldChar w:fldCharType="separate"/>
        </w:r>
        <w:r w:rsidR="00DC2DB7">
          <w:rPr>
            <w:webHidden/>
          </w:rPr>
          <w:t>11</w:t>
        </w:r>
        <w:r w:rsidRPr="00AE5CD3">
          <w:rPr>
            <w:webHidden/>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36" w:history="1">
        <w:r w:rsidR="005A1B22" w:rsidRPr="00AE5CD3">
          <w:rPr>
            <w:rStyle w:val="af3"/>
            <w:rFonts w:asciiTheme="majorHAnsi" w:hAnsiTheme="majorHAnsi"/>
            <w:noProof/>
            <w:sz w:val="22"/>
            <w:szCs w:val="22"/>
          </w:rPr>
          <w:t>12. Допустими партньори</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_Toc514334636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14</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37" w:history="1">
        <w:r w:rsidR="005A1B22" w:rsidRPr="00AE5CD3">
          <w:rPr>
            <w:rStyle w:val="af3"/>
            <w:rFonts w:asciiTheme="majorHAnsi" w:hAnsiTheme="majorHAnsi"/>
            <w:noProof/>
            <w:sz w:val="22"/>
            <w:szCs w:val="22"/>
          </w:rPr>
          <w:t>13. Дейности, допустими за финансиране</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_Toc514334637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14</w:t>
        </w:r>
        <w:r w:rsidRPr="00AE5CD3">
          <w:rPr>
            <w:rFonts w:asciiTheme="majorHAnsi" w:hAnsiTheme="majorHAnsi"/>
            <w:noProof/>
            <w:webHidden/>
            <w:sz w:val="22"/>
            <w:szCs w:val="22"/>
          </w:rPr>
          <w:fldChar w:fldCharType="end"/>
        </w:r>
      </w:hyperlink>
    </w:p>
    <w:p w:rsidR="005A1B22" w:rsidRPr="00AE5CD3" w:rsidRDefault="002663C2" w:rsidP="00872C12">
      <w:pPr>
        <w:pStyle w:val="32"/>
        <w:rPr>
          <w:rFonts w:eastAsia="Times New Roman" w:cs="Times New Roman"/>
          <w:lang w:eastAsia="bg-BG"/>
        </w:rPr>
      </w:pPr>
      <w:hyperlink w:anchor="_Toc514334638" w:history="1">
        <w:r w:rsidR="005A1B22" w:rsidRPr="00AE5CD3">
          <w:rPr>
            <w:rStyle w:val="af3"/>
            <w:color w:val="auto"/>
          </w:rPr>
          <w:t>13.1. Допустими дейности</w:t>
        </w:r>
        <w:r w:rsidR="005A1B22" w:rsidRPr="00AE5CD3">
          <w:rPr>
            <w:webHidden/>
          </w:rPr>
          <w:tab/>
        </w:r>
        <w:r w:rsidRPr="00AE5CD3">
          <w:rPr>
            <w:webHidden/>
          </w:rPr>
          <w:fldChar w:fldCharType="begin"/>
        </w:r>
        <w:r w:rsidR="005A1B22" w:rsidRPr="00AE5CD3">
          <w:rPr>
            <w:webHidden/>
          </w:rPr>
          <w:instrText xml:space="preserve"> PAGEREF _Toc514334638 \h </w:instrText>
        </w:r>
        <w:r w:rsidRPr="00AE5CD3">
          <w:rPr>
            <w:webHidden/>
          </w:rPr>
        </w:r>
        <w:r w:rsidRPr="00AE5CD3">
          <w:rPr>
            <w:webHidden/>
          </w:rPr>
          <w:fldChar w:fldCharType="separate"/>
        </w:r>
        <w:r w:rsidR="00DC2DB7">
          <w:rPr>
            <w:webHidden/>
          </w:rPr>
          <w:t>14</w:t>
        </w:r>
        <w:r w:rsidRPr="00AE5CD3">
          <w:rPr>
            <w:webHidden/>
          </w:rPr>
          <w:fldChar w:fldCharType="end"/>
        </w:r>
      </w:hyperlink>
    </w:p>
    <w:p w:rsidR="007F0892" w:rsidRPr="00AE5CD3" w:rsidRDefault="007F0892" w:rsidP="008119B6">
      <w:pPr>
        <w:spacing w:after="0" w:line="240" w:lineRule="auto"/>
        <w:ind w:firstLine="220"/>
        <w:rPr>
          <w:rFonts w:asciiTheme="majorHAnsi" w:hAnsiTheme="majorHAnsi"/>
          <w:noProof/>
        </w:rPr>
      </w:pPr>
      <w:r w:rsidRPr="00AE5CD3">
        <w:rPr>
          <w:rFonts w:asciiTheme="majorHAnsi" w:hAnsiTheme="majorHAnsi"/>
          <w:noProof/>
        </w:rPr>
        <w:t>13.2 Допустими проекти  ОПИК</w:t>
      </w:r>
    </w:p>
    <w:p w:rsidR="005A1B22" w:rsidRPr="00AE5CD3" w:rsidRDefault="002663C2" w:rsidP="00872C12">
      <w:pPr>
        <w:pStyle w:val="32"/>
        <w:rPr>
          <w:rStyle w:val="af3"/>
          <w:color w:val="auto"/>
        </w:rPr>
      </w:pPr>
      <w:hyperlink w:anchor="_Toc514334639" w:history="1">
        <w:r w:rsidR="005A1B22" w:rsidRPr="00AE5CD3">
          <w:rPr>
            <w:rStyle w:val="af3"/>
            <w:color w:val="auto"/>
          </w:rPr>
          <w:t>13.</w:t>
        </w:r>
        <w:r w:rsidR="007F0892" w:rsidRPr="00AE5CD3">
          <w:rPr>
            <w:rStyle w:val="af3"/>
            <w:color w:val="auto"/>
          </w:rPr>
          <w:t>3</w:t>
        </w:r>
        <w:r w:rsidR="005A1B22" w:rsidRPr="00AE5CD3">
          <w:rPr>
            <w:rStyle w:val="af3"/>
            <w:color w:val="auto"/>
          </w:rPr>
          <w:t>. Недопустими дейности</w:t>
        </w:r>
        <w:r w:rsidR="005A1B22" w:rsidRPr="00AE5CD3">
          <w:rPr>
            <w:webHidden/>
          </w:rPr>
          <w:tab/>
        </w:r>
        <w:r w:rsidRPr="00AE5CD3">
          <w:rPr>
            <w:webHidden/>
          </w:rPr>
          <w:fldChar w:fldCharType="begin"/>
        </w:r>
        <w:r w:rsidR="005A1B22" w:rsidRPr="00AE5CD3">
          <w:rPr>
            <w:webHidden/>
          </w:rPr>
          <w:instrText xml:space="preserve"> PAGEREF _Toc514334639 \h </w:instrText>
        </w:r>
        <w:r w:rsidRPr="00AE5CD3">
          <w:rPr>
            <w:webHidden/>
          </w:rPr>
        </w:r>
        <w:r w:rsidRPr="00AE5CD3">
          <w:rPr>
            <w:webHidden/>
          </w:rPr>
          <w:fldChar w:fldCharType="separate"/>
        </w:r>
        <w:r w:rsidR="00DC2DB7">
          <w:rPr>
            <w:webHidden/>
          </w:rPr>
          <w:t>17</w:t>
        </w:r>
        <w:r w:rsidRPr="00AE5CD3">
          <w:rPr>
            <w:webHidden/>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40" w:history="1">
        <w:r w:rsidR="005A1B22" w:rsidRPr="00AE5CD3">
          <w:rPr>
            <w:rStyle w:val="af3"/>
            <w:rFonts w:asciiTheme="majorHAnsi" w:hAnsiTheme="majorHAnsi"/>
            <w:noProof/>
            <w:color w:val="auto"/>
            <w:sz w:val="22"/>
            <w:szCs w:val="22"/>
          </w:rPr>
          <w:t>14. Категории разходи, допустими за финансиране</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_Toc514334640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18</w:t>
        </w:r>
        <w:r w:rsidRPr="00AE5CD3">
          <w:rPr>
            <w:rFonts w:asciiTheme="majorHAnsi" w:hAnsiTheme="majorHAnsi"/>
            <w:noProof/>
            <w:webHidden/>
            <w:sz w:val="22"/>
            <w:szCs w:val="22"/>
          </w:rPr>
          <w:fldChar w:fldCharType="end"/>
        </w:r>
      </w:hyperlink>
    </w:p>
    <w:p w:rsidR="00E871B6" w:rsidRPr="00AE5CD3" w:rsidRDefault="00E871B6" w:rsidP="00872C12">
      <w:pPr>
        <w:pStyle w:val="32"/>
        <w:rPr>
          <w:rStyle w:val="af3"/>
          <w:color w:val="auto"/>
          <w:u w:val="none"/>
        </w:rPr>
      </w:pPr>
      <w:r w:rsidRPr="00AE5CD3">
        <w:rPr>
          <w:rStyle w:val="af3"/>
          <w:color w:val="auto"/>
          <w:u w:val="none"/>
        </w:rPr>
        <w:t>14.1  Нормативна база ОПИК</w:t>
      </w:r>
    </w:p>
    <w:p w:rsidR="005A1B22" w:rsidRPr="00AE5CD3" w:rsidRDefault="002663C2" w:rsidP="00872C12">
      <w:pPr>
        <w:pStyle w:val="32"/>
        <w:rPr>
          <w:rFonts w:eastAsia="Times New Roman" w:cs="Times New Roman"/>
          <w:lang w:eastAsia="bg-BG"/>
        </w:rPr>
      </w:pPr>
      <w:hyperlink w:anchor="_Toc514334641" w:history="1">
        <w:r w:rsidR="005A1B22" w:rsidRPr="00AE5CD3">
          <w:rPr>
            <w:rStyle w:val="af3"/>
          </w:rPr>
          <w:t>14.</w:t>
        </w:r>
        <w:r w:rsidR="00A820D1" w:rsidRPr="00AE5CD3">
          <w:rPr>
            <w:rStyle w:val="af3"/>
          </w:rPr>
          <w:t>2</w:t>
        </w:r>
        <w:r w:rsidR="005A1B22" w:rsidRPr="00AE5CD3">
          <w:rPr>
            <w:rStyle w:val="af3"/>
          </w:rPr>
          <w:t>.  Условия за допустимост на разходите</w:t>
        </w:r>
        <w:r w:rsidR="005A1B22" w:rsidRPr="00AE5CD3">
          <w:rPr>
            <w:webHidden/>
          </w:rPr>
          <w:tab/>
        </w:r>
        <w:r w:rsidRPr="00AE5CD3">
          <w:rPr>
            <w:webHidden/>
          </w:rPr>
          <w:fldChar w:fldCharType="begin"/>
        </w:r>
        <w:r w:rsidR="005A1B22" w:rsidRPr="00AE5CD3">
          <w:rPr>
            <w:webHidden/>
          </w:rPr>
          <w:instrText xml:space="preserve"> PAGEREF _Toc514334641 \h </w:instrText>
        </w:r>
        <w:r w:rsidRPr="00AE5CD3">
          <w:rPr>
            <w:webHidden/>
          </w:rPr>
        </w:r>
        <w:r w:rsidRPr="00AE5CD3">
          <w:rPr>
            <w:webHidden/>
          </w:rPr>
          <w:fldChar w:fldCharType="separate"/>
        </w:r>
        <w:r w:rsidR="00DC2DB7">
          <w:rPr>
            <w:webHidden/>
          </w:rPr>
          <w:t>19</w:t>
        </w:r>
        <w:r w:rsidRPr="00AE5CD3">
          <w:rPr>
            <w:webHidden/>
          </w:rPr>
          <w:fldChar w:fldCharType="end"/>
        </w:r>
      </w:hyperlink>
    </w:p>
    <w:p w:rsidR="005A1B22" w:rsidRPr="00AE5CD3" w:rsidRDefault="002663C2" w:rsidP="00872C12">
      <w:pPr>
        <w:pStyle w:val="32"/>
        <w:rPr>
          <w:rFonts w:eastAsia="Times New Roman" w:cs="Times New Roman"/>
          <w:lang w:eastAsia="bg-BG"/>
        </w:rPr>
      </w:pPr>
      <w:hyperlink w:anchor="_Toc514334642" w:history="1">
        <w:r w:rsidR="005A1B22" w:rsidRPr="00AE5CD3">
          <w:rPr>
            <w:rStyle w:val="af3"/>
          </w:rPr>
          <w:t>14.</w:t>
        </w:r>
        <w:r w:rsidR="00A820D1" w:rsidRPr="00AE5CD3">
          <w:rPr>
            <w:rStyle w:val="af3"/>
          </w:rPr>
          <w:t>3</w:t>
        </w:r>
        <w:r w:rsidR="005A1B22" w:rsidRPr="00AE5CD3">
          <w:rPr>
            <w:rStyle w:val="af3"/>
          </w:rPr>
          <w:t>. Допустими разходи</w:t>
        </w:r>
        <w:r w:rsidR="005A1B22" w:rsidRPr="00AE5CD3">
          <w:rPr>
            <w:webHidden/>
          </w:rPr>
          <w:tab/>
        </w:r>
        <w:r w:rsidRPr="00AE5CD3">
          <w:rPr>
            <w:webHidden/>
          </w:rPr>
          <w:fldChar w:fldCharType="begin"/>
        </w:r>
        <w:r w:rsidR="005A1B22" w:rsidRPr="00AE5CD3">
          <w:rPr>
            <w:webHidden/>
          </w:rPr>
          <w:instrText xml:space="preserve"> PAGEREF _Toc514334642 \h </w:instrText>
        </w:r>
        <w:r w:rsidRPr="00AE5CD3">
          <w:rPr>
            <w:webHidden/>
          </w:rPr>
        </w:r>
        <w:r w:rsidRPr="00AE5CD3">
          <w:rPr>
            <w:webHidden/>
          </w:rPr>
          <w:fldChar w:fldCharType="separate"/>
        </w:r>
        <w:r w:rsidR="00DC2DB7">
          <w:rPr>
            <w:webHidden/>
          </w:rPr>
          <w:t>21</w:t>
        </w:r>
        <w:r w:rsidRPr="00AE5CD3">
          <w:rPr>
            <w:webHidden/>
          </w:rPr>
          <w:fldChar w:fldCharType="end"/>
        </w:r>
      </w:hyperlink>
    </w:p>
    <w:p w:rsidR="005A1B22" w:rsidRPr="00AE5CD3" w:rsidRDefault="002663C2" w:rsidP="00872C12">
      <w:pPr>
        <w:pStyle w:val="32"/>
        <w:rPr>
          <w:rFonts w:eastAsia="Times New Roman" w:cs="Times New Roman"/>
          <w:lang w:eastAsia="bg-BG"/>
        </w:rPr>
      </w:pPr>
      <w:hyperlink w:anchor="_Toc514334643" w:history="1">
        <w:r w:rsidR="005A1B22" w:rsidRPr="00AE5CD3">
          <w:rPr>
            <w:rStyle w:val="af3"/>
          </w:rPr>
          <w:t>14.</w:t>
        </w:r>
        <w:r w:rsidR="00A820D1" w:rsidRPr="00AE5CD3">
          <w:rPr>
            <w:rStyle w:val="af3"/>
          </w:rPr>
          <w:t>4</w:t>
        </w:r>
        <w:r w:rsidR="005A1B22" w:rsidRPr="00AE5CD3">
          <w:rPr>
            <w:rStyle w:val="af3"/>
          </w:rPr>
          <w:t>.  Недопустими разходи</w:t>
        </w:r>
        <w:r w:rsidR="005A1B22" w:rsidRPr="00AE5CD3">
          <w:rPr>
            <w:webHidden/>
          </w:rPr>
          <w:tab/>
        </w:r>
        <w:r w:rsidRPr="00AE5CD3">
          <w:rPr>
            <w:webHidden/>
          </w:rPr>
          <w:fldChar w:fldCharType="begin"/>
        </w:r>
        <w:r w:rsidR="005A1B22" w:rsidRPr="00AE5CD3">
          <w:rPr>
            <w:webHidden/>
          </w:rPr>
          <w:instrText xml:space="preserve"> PAGEREF _Toc514334643 \h </w:instrText>
        </w:r>
        <w:r w:rsidRPr="00AE5CD3">
          <w:rPr>
            <w:webHidden/>
          </w:rPr>
        </w:r>
        <w:r w:rsidRPr="00AE5CD3">
          <w:rPr>
            <w:webHidden/>
          </w:rPr>
          <w:fldChar w:fldCharType="separate"/>
        </w:r>
        <w:r w:rsidR="00DC2DB7">
          <w:rPr>
            <w:webHidden/>
          </w:rPr>
          <w:t>24</w:t>
        </w:r>
        <w:r w:rsidRPr="00AE5CD3">
          <w:rPr>
            <w:webHidden/>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44" w:history="1">
        <w:r w:rsidR="005A1B22" w:rsidRPr="00AE5CD3">
          <w:rPr>
            <w:rStyle w:val="af3"/>
            <w:rFonts w:asciiTheme="majorHAnsi" w:hAnsiTheme="majorHAnsi"/>
            <w:noProof/>
            <w:sz w:val="22"/>
            <w:szCs w:val="22"/>
          </w:rPr>
          <w:t>15. Допустими целеви групи</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_Toc514334644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26</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45" w:history="1">
        <w:r w:rsidR="005A1B22" w:rsidRPr="00AE5CD3">
          <w:rPr>
            <w:rStyle w:val="af3"/>
            <w:rFonts w:asciiTheme="majorHAnsi" w:hAnsiTheme="majorHAnsi"/>
            <w:noProof/>
            <w:sz w:val="22"/>
            <w:szCs w:val="22"/>
          </w:rPr>
          <w:t>16. Приложим режим на минимални/държавни помощи</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_Toc514334645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26</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46" w:history="1">
        <w:r w:rsidR="005A1B22" w:rsidRPr="00AE5CD3">
          <w:rPr>
            <w:rStyle w:val="af3"/>
            <w:rFonts w:asciiTheme="majorHAnsi" w:hAnsiTheme="majorHAnsi"/>
            <w:noProof/>
            <w:sz w:val="22"/>
            <w:szCs w:val="22"/>
          </w:rPr>
          <w:t>17. Хоризонтални политики</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_Toc514334646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30</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47" w:history="1">
        <w:r w:rsidR="005A1B22" w:rsidRPr="00AE5CD3">
          <w:rPr>
            <w:rStyle w:val="af3"/>
            <w:rFonts w:asciiTheme="majorHAnsi" w:hAnsiTheme="majorHAnsi"/>
            <w:noProof/>
            <w:sz w:val="22"/>
            <w:szCs w:val="22"/>
          </w:rPr>
          <w:t>18. Минимален и максимален срок за изпълнение на проекта</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_Toc514334647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31</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48" w:history="1">
        <w:r w:rsidR="005A1B22" w:rsidRPr="00AE5CD3">
          <w:rPr>
            <w:rStyle w:val="af3"/>
            <w:rFonts w:asciiTheme="majorHAnsi" w:hAnsiTheme="majorHAnsi"/>
            <w:noProof/>
            <w:sz w:val="22"/>
            <w:szCs w:val="22"/>
          </w:rPr>
          <w:t>19. Ред за оценяване на концепциите за проектни предложения</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_Toc514334648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31</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49" w:history="1">
        <w:r w:rsidR="005A1B22" w:rsidRPr="00AE5CD3">
          <w:rPr>
            <w:rStyle w:val="af3"/>
            <w:rFonts w:asciiTheme="majorHAnsi" w:hAnsiTheme="majorHAnsi"/>
            <w:noProof/>
            <w:sz w:val="22"/>
            <w:szCs w:val="22"/>
          </w:rPr>
          <w:t>20. Критерии и методика за оценка на концепциите за проектни предложения</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_Toc514334649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31</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50" w:history="1">
        <w:r w:rsidR="005A1B22" w:rsidRPr="00AE5CD3">
          <w:rPr>
            <w:rStyle w:val="af3"/>
            <w:rFonts w:asciiTheme="majorHAnsi" w:hAnsiTheme="majorHAnsi"/>
            <w:noProof/>
            <w:sz w:val="22"/>
            <w:szCs w:val="22"/>
          </w:rPr>
          <w:t>21. Ред за оценяване на проектните предложения</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_Toc514334650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31</w:t>
        </w:r>
        <w:r w:rsidRPr="00AE5CD3">
          <w:rPr>
            <w:rFonts w:asciiTheme="majorHAnsi" w:hAnsiTheme="majorHAnsi"/>
            <w:noProof/>
            <w:webHidden/>
            <w:sz w:val="22"/>
            <w:szCs w:val="22"/>
          </w:rPr>
          <w:fldChar w:fldCharType="end"/>
        </w:r>
      </w:hyperlink>
    </w:p>
    <w:p w:rsidR="005A1B22" w:rsidRPr="00AE5CD3" w:rsidRDefault="002663C2" w:rsidP="00872C12">
      <w:pPr>
        <w:pStyle w:val="32"/>
        <w:rPr>
          <w:rFonts w:eastAsia="Times New Roman" w:cs="Times New Roman"/>
          <w:lang w:eastAsia="bg-BG"/>
        </w:rPr>
      </w:pPr>
      <w:hyperlink w:anchor="_Toc514334651" w:history="1">
        <w:r w:rsidR="005A1B22" w:rsidRPr="00AE5CD3">
          <w:rPr>
            <w:rStyle w:val="af3"/>
          </w:rPr>
          <w:t>21.1. Оценка на  административното съответствие и допустимостта</w:t>
        </w:r>
        <w:r w:rsidR="005A1B22" w:rsidRPr="00AE5CD3">
          <w:rPr>
            <w:webHidden/>
          </w:rPr>
          <w:tab/>
        </w:r>
        <w:r w:rsidRPr="00AE5CD3">
          <w:rPr>
            <w:webHidden/>
          </w:rPr>
          <w:fldChar w:fldCharType="begin"/>
        </w:r>
        <w:r w:rsidR="005A1B22" w:rsidRPr="00AE5CD3">
          <w:rPr>
            <w:webHidden/>
          </w:rPr>
          <w:instrText xml:space="preserve"> PAGEREF _Toc514334651 \h </w:instrText>
        </w:r>
        <w:r w:rsidRPr="00AE5CD3">
          <w:rPr>
            <w:webHidden/>
          </w:rPr>
        </w:r>
        <w:r w:rsidRPr="00AE5CD3">
          <w:rPr>
            <w:webHidden/>
          </w:rPr>
          <w:fldChar w:fldCharType="separate"/>
        </w:r>
        <w:r w:rsidR="00DC2DB7">
          <w:rPr>
            <w:webHidden/>
          </w:rPr>
          <w:t>33</w:t>
        </w:r>
        <w:r w:rsidRPr="00AE5CD3">
          <w:rPr>
            <w:webHidden/>
          </w:rPr>
          <w:fldChar w:fldCharType="end"/>
        </w:r>
      </w:hyperlink>
    </w:p>
    <w:p w:rsidR="005A1B22" w:rsidRPr="00AE5CD3" w:rsidRDefault="002663C2" w:rsidP="00872C12">
      <w:pPr>
        <w:pStyle w:val="32"/>
        <w:rPr>
          <w:rFonts w:eastAsia="Times New Roman" w:cs="Times New Roman"/>
          <w:lang w:eastAsia="bg-BG"/>
        </w:rPr>
      </w:pPr>
      <w:hyperlink w:anchor="_Toc514334652" w:history="1">
        <w:r w:rsidR="005A1B22" w:rsidRPr="00AE5CD3">
          <w:rPr>
            <w:rStyle w:val="af3"/>
          </w:rPr>
          <w:t>21.2. Техническа и финансова оценка</w:t>
        </w:r>
        <w:r w:rsidR="005A1B22" w:rsidRPr="00AE5CD3">
          <w:rPr>
            <w:webHidden/>
          </w:rPr>
          <w:tab/>
        </w:r>
        <w:r w:rsidRPr="00AE5CD3">
          <w:rPr>
            <w:webHidden/>
          </w:rPr>
          <w:fldChar w:fldCharType="begin"/>
        </w:r>
        <w:r w:rsidR="005A1B22" w:rsidRPr="00AE5CD3">
          <w:rPr>
            <w:webHidden/>
          </w:rPr>
          <w:instrText xml:space="preserve"> PAGEREF _Toc514334652 \h </w:instrText>
        </w:r>
        <w:r w:rsidRPr="00AE5CD3">
          <w:rPr>
            <w:webHidden/>
          </w:rPr>
        </w:r>
        <w:r w:rsidRPr="00AE5CD3">
          <w:rPr>
            <w:webHidden/>
          </w:rPr>
          <w:fldChar w:fldCharType="separate"/>
        </w:r>
        <w:r w:rsidR="00DC2DB7">
          <w:rPr>
            <w:webHidden/>
          </w:rPr>
          <w:t>34</w:t>
        </w:r>
        <w:r w:rsidRPr="00AE5CD3">
          <w:rPr>
            <w:webHidden/>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53" w:history="1">
        <w:r w:rsidR="005A1B22" w:rsidRPr="00AE5CD3">
          <w:rPr>
            <w:rStyle w:val="af3"/>
            <w:rFonts w:asciiTheme="majorHAnsi" w:hAnsiTheme="majorHAnsi"/>
            <w:noProof/>
            <w:sz w:val="22"/>
            <w:szCs w:val="22"/>
          </w:rPr>
          <w:t>22. Критерии и методика за оценка на проектните предложения</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_Toc514334653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36</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54" w:history="1">
        <w:r w:rsidR="005A1B22" w:rsidRPr="00AE5CD3">
          <w:rPr>
            <w:rStyle w:val="af3"/>
            <w:rFonts w:asciiTheme="majorHAnsi" w:hAnsiTheme="majorHAnsi"/>
            <w:noProof/>
            <w:sz w:val="22"/>
            <w:szCs w:val="22"/>
          </w:rPr>
          <w:t>23. Начин на подаване на проектните предложения/концепциите за проектни предложения</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_Toc514334654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38</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55" w:history="1">
        <w:r w:rsidR="005A1B22" w:rsidRPr="00AE5CD3">
          <w:rPr>
            <w:rStyle w:val="af3"/>
            <w:rFonts w:asciiTheme="majorHAnsi" w:hAnsiTheme="majorHAnsi"/>
            <w:noProof/>
            <w:sz w:val="22"/>
            <w:szCs w:val="22"/>
          </w:rPr>
          <w:t>24. Списък на документите, които се подават на етап кандидатстване</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_Toc514334655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40</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56" w:history="1">
        <w:r w:rsidR="005A1B22" w:rsidRPr="00AE5CD3">
          <w:rPr>
            <w:rStyle w:val="af3"/>
            <w:rFonts w:asciiTheme="majorHAnsi" w:hAnsiTheme="majorHAnsi"/>
            <w:noProof/>
            <w:sz w:val="22"/>
            <w:szCs w:val="22"/>
          </w:rPr>
          <w:t>25. Краен срок за подаване на проектните предложения</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_Toc514334656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46</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57" w:history="1">
        <w:r w:rsidR="005A1B22" w:rsidRPr="00AE5CD3">
          <w:rPr>
            <w:rStyle w:val="af3"/>
            <w:rFonts w:asciiTheme="majorHAnsi" w:hAnsiTheme="majorHAnsi"/>
            <w:noProof/>
            <w:sz w:val="22"/>
            <w:szCs w:val="22"/>
          </w:rPr>
          <w:t>26. Адрес за подаване на проектните предложения/концепциите за проектни предложения</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_Toc514334657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47</w:t>
        </w:r>
        <w:r w:rsidRPr="00AE5CD3">
          <w:rPr>
            <w:rFonts w:asciiTheme="majorHAnsi" w:hAnsiTheme="majorHAnsi"/>
            <w:noProof/>
            <w:webHidden/>
            <w:sz w:val="22"/>
            <w:szCs w:val="22"/>
          </w:rPr>
          <w:fldChar w:fldCharType="end"/>
        </w:r>
      </w:hyperlink>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58" w:history="1">
        <w:r w:rsidR="005A1B22" w:rsidRPr="00AE5CD3">
          <w:rPr>
            <w:rStyle w:val="af3"/>
            <w:rFonts w:asciiTheme="majorHAnsi" w:hAnsiTheme="majorHAnsi"/>
            <w:noProof/>
            <w:sz w:val="22"/>
            <w:szCs w:val="22"/>
          </w:rPr>
          <w:t>27. Допълнителна информация</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_Toc514334658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47</w:t>
        </w:r>
        <w:r w:rsidRPr="00AE5CD3">
          <w:rPr>
            <w:rFonts w:asciiTheme="majorHAnsi" w:hAnsiTheme="majorHAnsi"/>
            <w:noProof/>
            <w:webHidden/>
            <w:sz w:val="22"/>
            <w:szCs w:val="22"/>
          </w:rPr>
          <w:fldChar w:fldCharType="end"/>
        </w:r>
      </w:hyperlink>
    </w:p>
    <w:p w:rsidR="005A1B22" w:rsidRPr="00DC2DB7" w:rsidRDefault="002663C2" w:rsidP="00872C12">
      <w:pPr>
        <w:pStyle w:val="32"/>
        <w:rPr>
          <w:rStyle w:val="af3"/>
        </w:rPr>
      </w:pPr>
      <w:hyperlink w:anchor="_Toc514334659" w:history="1">
        <w:r w:rsidR="005A1B22" w:rsidRPr="00DC2DB7">
          <w:rPr>
            <w:rStyle w:val="af3"/>
          </w:rPr>
          <w:t>27.1. Процедура за уведомяване на неуспелите и одобрените кандидати и сключване на административни договори за предоставяне на безвъзмездна финансова помощ</w:t>
        </w:r>
        <w:r w:rsidR="005A1B22" w:rsidRPr="00DC2DB7">
          <w:rPr>
            <w:webHidden/>
          </w:rPr>
          <w:tab/>
        </w:r>
        <w:r w:rsidRPr="00DC2DB7">
          <w:rPr>
            <w:webHidden/>
          </w:rPr>
          <w:fldChar w:fldCharType="begin"/>
        </w:r>
        <w:r w:rsidR="005A1B22" w:rsidRPr="00DC2DB7">
          <w:rPr>
            <w:webHidden/>
          </w:rPr>
          <w:instrText xml:space="preserve"> PAGEREF _Toc514334659 \h </w:instrText>
        </w:r>
        <w:r w:rsidRPr="00DC2DB7">
          <w:rPr>
            <w:webHidden/>
          </w:rPr>
        </w:r>
        <w:r w:rsidRPr="00DC2DB7">
          <w:rPr>
            <w:webHidden/>
          </w:rPr>
          <w:fldChar w:fldCharType="separate"/>
        </w:r>
        <w:r w:rsidR="00DC2DB7">
          <w:rPr>
            <w:webHidden/>
          </w:rPr>
          <w:t>47</w:t>
        </w:r>
        <w:r w:rsidRPr="00DC2DB7">
          <w:rPr>
            <w:webHidden/>
          </w:rPr>
          <w:fldChar w:fldCharType="end"/>
        </w:r>
      </w:hyperlink>
    </w:p>
    <w:p w:rsidR="00E871B6" w:rsidRPr="00AE5CD3" w:rsidRDefault="00E871B6" w:rsidP="00DC2DB7">
      <w:pPr>
        <w:spacing w:after="0" w:line="240" w:lineRule="auto"/>
        <w:ind w:left="220"/>
        <w:rPr>
          <w:noProof/>
        </w:rPr>
      </w:pPr>
      <w:r w:rsidRPr="00DC2DB7">
        <w:rPr>
          <w:rFonts w:asciiTheme="majorHAnsi" w:hAnsiTheme="majorHAnsi"/>
          <w:noProof/>
        </w:rPr>
        <w:t>27.2. Процедура за сключване на Административен договор за предоставяне на безвъзмездна финансова помощ ОПИК ...........</w:t>
      </w:r>
      <w:r w:rsidRPr="00AE5CD3">
        <w:rPr>
          <w:rFonts w:asciiTheme="majorHAnsi" w:hAnsiTheme="majorHAnsi"/>
          <w:noProof/>
          <w:sz w:val="23"/>
          <w:szCs w:val="23"/>
        </w:rPr>
        <w:t>.....................................................................</w:t>
      </w:r>
      <w:r w:rsidRPr="00AE5CD3">
        <w:rPr>
          <w:noProof/>
          <w:sz w:val="23"/>
          <w:szCs w:val="23"/>
        </w:rPr>
        <w:t>...</w:t>
      </w:r>
      <w:r w:rsidR="00DC2DB7">
        <w:rPr>
          <w:noProof/>
          <w:sz w:val="23"/>
          <w:szCs w:val="23"/>
        </w:rPr>
        <w:t xml:space="preserve">                               </w:t>
      </w:r>
      <w:r w:rsidRPr="00AE5CD3">
        <w:rPr>
          <w:noProof/>
          <w:sz w:val="23"/>
          <w:szCs w:val="23"/>
        </w:rPr>
        <w:t>......</w:t>
      </w:r>
      <w:r w:rsidR="00252786" w:rsidRPr="00AE5CD3">
        <w:rPr>
          <w:noProof/>
          <w:sz w:val="23"/>
          <w:szCs w:val="23"/>
        </w:rPr>
        <w:t>.............48</w:t>
      </w:r>
    </w:p>
    <w:p w:rsidR="005A1B22" w:rsidRPr="00AE5CD3" w:rsidRDefault="002663C2" w:rsidP="008119B6">
      <w:pPr>
        <w:pStyle w:val="22"/>
        <w:tabs>
          <w:tab w:val="right" w:leader="dot" w:pos="9781"/>
        </w:tabs>
        <w:spacing w:before="0" w:line="240" w:lineRule="auto"/>
        <w:rPr>
          <w:rFonts w:asciiTheme="majorHAnsi" w:eastAsia="Times New Roman" w:hAnsiTheme="majorHAnsi" w:cs="Times New Roman"/>
          <w:b w:val="0"/>
          <w:bCs w:val="0"/>
          <w:noProof/>
          <w:sz w:val="22"/>
          <w:szCs w:val="22"/>
          <w:lang w:eastAsia="bg-BG"/>
        </w:rPr>
      </w:pPr>
      <w:hyperlink w:anchor="_Toc514334660" w:history="1">
        <w:r w:rsidR="005A1B22" w:rsidRPr="00AE5CD3">
          <w:rPr>
            <w:rStyle w:val="af3"/>
            <w:rFonts w:asciiTheme="majorHAnsi" w:hAnsiTheme="majorHAnsi"/>
            <w:noProof/>
            <w:sz w:val="22"/>
            <w:szCs w:val="22"/>
          </w:rPr>
          <w:t>28. Приложения към Условията за кандидатстване</w:t>
        </w:r>
        <w:r w:rsidR="005A1B22" w:rsidRPr="00AE5CD3">
          <w:rPr>
            <w:rFonts w:asciiTheme="majorHAnsi" w:hAnsiTheme="majorHAnsi"/>
            <w:noProof/>
            <w:webHidden/>
            <w:sz w:val="22"/>
            <w:szCs w:val="22"/>
          </w:rPr>
          <w:tab/>
        </w:r>
        <w:r w:rsidRPr="00AE5CD3">
          <w:rPr>
            <w:rFonts w:asciiTheme="majorHAnsi" w:hAnsiTheme="majorHAnsi"/>
            <w:noProof/>
            <w:webHidden/>
            <w:sz w:val="22"/>
            <w:szCs w:val="22"/>
          </w:rPr>
          <w:fldChar w:fldCharType="begin"/>
        </w:r>
        <w:r w:rsidR="005A1B22" w:rsidRPr="00AE5CD3">
          <w:rPr>
            <w:rFonts w:asciiTheme="majorHAnsi" w:hAnsiTheme="majorHAnsi"/>
            <w:noProof/>
            <w:webHidden/>
            <w:sz w:val="22"/>
            <w:szCs w:val="22"/>
          </w:rPr>
          <w:instrText xml:space="preserve"> PAGEREF _Toc514334660 \h </w:instrText>
        </w:r>
        <w:r w:rsidRPr="00AE5CD3">
          <w:rPr>
            <w:rFonts w:asciiTheme="majorHAnsi" w:hAnsiTheme="majorHAnsi"/>
            <w:noProof/>
            <w:webHidden/>
            <w:sz w:val="22"/>
            <w:szCs w:val="22"/>
          </w:rPr>
        </w:r>
        <w:r w:rsidRPr="00AE5CD3">
          <w:rPr>
            <w:rFonts w:asciiTheme="majorHAnsi" w:hAnsiTheme="majorHAnsi"/>
            <w:noProof/>
            <w:webHidden/>
            <w:sz w:val="22"/>
            <w:szCs w:val="22"/>
          </w:rPr>
          <w:fldChar w:fldCharType="separate"/>
        </w:r>
        <w:r w:rsidR="00DC2DB7">
          <w:rPr>
            <w:rFonts w:asciiTheme="majorHAnsi" w:hAnsiTheme="majorHAnsi"/>
            <w:noProof/>
            <w:webHidden/>
            <w:sz w:val="22"/>
            <w:szCs w:val="22"/>
          </w:rPr>
          <w:t>52</w:t>
        </w:r>
        <w:r w:rsidRPr="00AE5CD3">
          <w:rPr>
            <w:rFonts w:asciiTheme="majorHAnsi" w:hAnsiTheme="majorHAnsi"/>
            <w:noProof/>
            <w:webHidden/>
            <w:sz w:val="22"/>
            <w:szCs w:val="22"/>
          </w:rPr>
          <w:fldChar w:fldCharType="end"/>
        </w:r>
      </w:hyperlink>
    </w:p>
    <w:p w:rsidR="005A1B22" w:rsidRPr="00AE5CD3" w:rsidRDefault="002663C2" w:rsidP="008119B6">
      <w:pPr>
        <w:tabs>
          <w:tab w:val="right" w:leader="dot" w:pos="9781"/>
        </w:tabs>
        <w:spacing w:line="240" w:lineRule="auto"/>
        <w:rPr>
          <w:rFonts w:asciiTheme="majorHAnsi" w:eastAsia="MS Gothic" w:hAnsiTheme="majorHAnsi"/>
          <w:b/>
          <w:bCs/>
          <w:color w:val="5B9BD5"/>
        </w:rPr>
      </w:pPr>
      <w:r w:rsidRPr="00AE5CD3">
        <w:rPr>
          <w:rFonts w:asciiTheme="majorHAnsi" w:hAnsiTheme="majorHAnsi"/>
        </w:rPr>
        <w:fldChar w:fldCharType="end"/>
      </w:r>
      <w:r w:rsidR="005A1B22" w:rsidRPr="00AE5CD3">
        <w:rPr>
          <w:rFonts w:asciiTheme="majorHAnsi" w:hAnsiTheme="majorHAnsi"/>
        </w:rPr>
        <w:br w:type="page"/>
      </w:r>
    </w:p>
    <w:p w:rsidR="005A1B22" w:rsidRPr="00AE5CD3" w:rsidRDefault="005A1B22" w:rsidP="008119B6">
      <w:pPr>
        <w:pStyle w:val="20"/>
        <w:spacing w:before="0" w:line="240" w:lineRule="auto"/>
        <w:rPr>
          <w:rFonts w:asciiTheme="majorHAnsi" w:hAnsiTheme="majorHAnsi"/>
        </w:rPr>
      </w:pPr>
      <w:bookmarkStart w:id="0" w:name="_Toc476823132"/>
      <w:bookmarkStart w:id="1" w:name="_Toc514333689"/>
      <w:bookmarkStart w:id="2" w:name="_Toc514334529"/>
      <w:bookmarkStart w:id="3" w:name="_Toc514334621"/>
      <w:r w:rsidRPr="00AE5CD3">
        <w:rPr>
          <w:rFonts w:asciiTheme="majorHAnsi" w:hAnsiTheme="majorHAnsi"/>
        </w:rPr>
        <w:lastRenderedPageBreak/>
        <w:t>1. Наименование на програмата</w:t>
      </w:r>
      <w:bookmarkEnd w:id="0"/>
      <w:bookmarkEnd w:id="1"/>
      <w:bookmarkEnd w:id="2"/>
      <w:bookmarkEnd w:id="3"/>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Оперативна програма „Иновации и конкурентоспособност“ 2014-2020 (ОПИК)BG16RFOP002</w:t>
      </w:r>
    </w:p>
    <w:p w:rsidR="005A1B22" w:rsidRPr="00AE5CD3" w:rsidRDefault="005A1B22" w:rsidP="008119B6">
      <w:pPr>
        <w:pStyle w:val="20"/>
        <w:spacing w:before="0" w:line="240" w:lineRule="auto"/>
        <w:rPr>
          <w:rFonts w:asciiTheme="majorHAnsi" w:hAnsiTheme="majorHAnsi"/>
        </w:rPr>
      </w:pPr>
      <w:bookmarkStart w:id="4" w:name="_Toc476823133"/>
    </w:p>
    <w:p w:rsidR="005A1B22" w:rsidRPr="00AE5CD3" w:rsidRDefault="005A1B22" w:rsidP="008119B6">
      <w:pPr>
        <w:pStyle w:val="20"/>
        <w:spacing w:before="0" w:line="240" w:lineRule="auto"/>
        <w:rPr>
          <w:rFonts w:asciiTheme="majorHAnsi" w:hAnsiTheme="majorHAnsi"/>
        </w:rPr>
      </w:pPr>
      <w:bookmarkStart w:id="5" w:name="_Toc514333690"/>
      <w:bookmarkStart w:id="6" w:name="_Toc514334530"/>
      <w:bookmarkStart w:id="7" w:name="_Toc514334622"/>
      <w:r w:rsidRPr="00AE5CD3">
        <w:rPr>
          <w:rFonts w:asciiTheme="majorHAnsi" w:hAnsiTheme="majorHAnsi"/>
        </w:rPr>
        <w:t>2. Наименование на приоритетната ос</w:t>
      </w:r>
      <w:bookmarkEnd w:id="4"/>
      <w:bookmarkEnd w:id="5"/>
      <w:bookmarkEnd w:id="6"/>
      <w:bookmarkEnd w:id="7"/>
    </w:p>
    <w:p w:rsidR="005A1B22" w:rsidRPr="00AE5CD3" w:rsidRDefault="005A1B22" w:rsidP="008119B6">
      <w:pPr>
        <w:pStyle w:val="6"/>
        <w:pBdr>
          <w:top w:val="single" w:sz="4" w:space="1" w:color="auto"/>
          <w:left w:val="single" w:sz="4" w:space="4" w:color="auto"/>
          <w:bottom w:val="single" w:sz="4" w:space="1" w:color="auto"/>
          <w:right w:val="single" w:sz="4" w:space="4" w:color="auto"/>
        </w:pBdr>
        <w:spacing w:before="0" w:after="0" w:line="240" w:lineRule="auto"/>
        <w:rPr>
          <w:rFonts w:asciiTheme="majorHAnsi" w:hAnsiTheme="majorHAnsi"/>
          <w:sz w:val="24"/>
          <w:szCs w:val="24"/>
        </w:rPr>
      </w:pPr>
      <w:r w:rsidRPr="00AE5CD3">
        <w:rPr>
          <w:rFonts w:asciiTheme="majorHAnsi" w:hAnsiTheme="majorHAnsi"/>
          <w:sz w:val="24"/>
          <w:szCs w:val="24"/>
        </w:rPr>
        <w:t>Водено от общностите местно развитие</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rPr>
          <w:rFonts w:asciiTheme="majorHAnsi" w:hAnsiTheme="majorHAnsi"/>
          <w:lang w:val="bg-BG"/>
        </w:rPr>
      </w:pPr>
      <w:r w:rsidRPr="00AE5CD3">
        <w:rPr>
          <w:rFonts w:asciiTheme="majorHAnsi" w:hAnsiTheme="majorHAnsi"/>
          <w:lang w:val="bg-BG"/>
        </w:rPr>
        <w:t>Приоритетна ос 2: „Предприемачество и капацитет за растеж на МСП“, Инвестиционен приоритет 2.2 „Капацитет за растеж на МСП“</w:t>
      </w:r>
    </w:p>
    <w:p w:rsidR="005A1B22" w:rsidRPr="00AE5CD3" w:rsidRDefault="005A1B22" w:rsidP="008119B6">
      <w:pPr>
        <w:pStyle w:val="20"/>
        <w:spacing w:before="0" w:line="240" w:lineRule="auto"/>
        <w:rPr>
          <w:rFonts w:asciiTheme="majorHAnsi" w:hAnsiTheme="majorHAnsi"/>
        </w:rPr>
      </w:pPr>
      <w:bookmarkStart w:id="8" w:name="_Toc476823134"/>
    </w:p>
    <w:p w:rsidR="005A1B22" w:rsidRPr="00AE5CD3" w:rsidRDefault="005A1B22" w:rsidP="008119B6">
      <w:pPr>
        <w:pStyle w:val="20"/>
        <w:spacing w:before="0" w:line="240" w:lineRule="auto"/>
        <w:rPr>
          <w:rFonts w:asciiTheme="majorHAnsi" w:hAnsiTheme="majorHAnsi"/>
        </w:rPr>
      </w:pPr>
      <w:bookmarkStart w:id="9" w:name="_Toc514333691"/>
      <w:bookmarkStart w:id="10" w:name="_Toc514334531"/>
      <w:bookmarkStart w:id="11" w:name="_Toc514334623"/>
      <w:r w:rsidRPr="00AE5CD3">
        <w:rPr>
          <w:rFonts w:asciiTheme="majorHAnsi" w:hAnsiTheme="majorHAnsi"/>
        </w:rPr>
        <w:t>3. Наименование на процедурата</w:t>
      </w:r>
      <w:bookmarkEnd w:id="8"/>
      <w:bookmarkEnd w:id="9"/>
      <w:bookmarkEnd w:id="10"/>
      <w:bookmarkEnd w:id="11"/>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b/>
          <w:sz w:val="24"/>
          <w:szCs w:val="24"/>
        </w:rPr>
      </w:pPr>
      <w:r w:rsidRPr="00AE5CD3">
        <w:rPr>
          <w:rFonts w:asciiTheme="majorHAnsi" w:hAnsiTheme="majorHAnsi"/>
          <w:b/>
          <w:sz w:val="24"/>
          <w:szCs w:val="24"/>
        </w:rPr>
        <w:t xml:space="preserve">МИГ </w:t>
      </w:r>
      <w:r w:rsidR="008927ED" w:rsidRPr="00AE5CD3">
        <w:rPr>
          <w:rFonts w:asciiTheme="majorHAnsi" w:hAnsiTheme="majorHAnsi"/>
          <w:b/>
          <w:sz w:val="24"/>
          <w:szCs w:val="24"/>
        </w:rPr>
        <w:t>Кирково-Златоград</w:t>
      </w:r>
      <w:r w:rsidRPr="00AE5CD3">
        <w:rPr>
          <w:rFonts w:asciiTheme="majorHAnsi" w:hAnsiTheme="majorHAnsi"/>
          <w:b/>
          <w:sz w:val="24"/>
          <w:szCs w:val="24"/>
        </w:rPr>
        <w:t xml:space="preserve"> „</w:t>
      </w:r>
      <w:r w:rsidR="00E371A1">
        <w:rPr>
          <w:rFonts w:asciiTheme="majorHAnsi" w:hAnsiTheme="majorHAnsi"/>
          <w:b/>
          <w:sz w:val="24"/>
          <w:szCs w:val="24"/>
        </w:rPr>
        <w:t>ИК 2.2-</w:t>
      </w:r>
      <w:r w:rsidRPr="00AE5CD3">
        <w:rPr>
          <w:rFonts w:asciiTheme="majorHAnsi" w:hAnsiTheme="majorHAnsi"/>
          <w:b/>
          <w:sz w:val="24"/>
          <w:szCs w:val="24"/>
        </w:rPr>
        <w:t xml:space="preserve">Подобряване на производствения капацитет в МСП на територията на МИГ </w:t>
      </w:r>
      <w:r w:rsidR="008927ED" w:rsidRPr="00AE5CD3">
        <w:rPr>
          <w:rFonts w:asciiTheme="majorHAnsi" w:hAnsiTheme="majorHAnsi"/>
          <w:b/>
          <w:sz w:val="24"/>
          <w:szCs w:val="24"/>
        </w:rPr>
        <w:t>Кирково-Златоград</w:t>
      </w:r>
      <w:r w:rsidRPr="00AE5CD3">
        <w:rPr>
          <w:rFonts w:asciiTheme="majorHAnsi" w:hAnsiTheme="majorHAnsi"/>
          <w:b/>
          <w:sz w:val="24"/>
          <w:szCs w:val="24"/>
        </w:rPr>
        <w:t>”</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bCs/>
          <w:color w:val="000000"/>
          <w:sz w:val="24"/>
          <w:szCs w:val="24"/>
        </w:rPr>
      </w:pPr>
      <w:r w:rsidRPr="00AE5CD3">
        <w:rPr>
          <w:rFonts w:asciiTheme="majorHAnsi" w:hAnsiTheme="majorHAnsi"/>
          <w:color w:val="000000"/>
          <w:sz w:val="24"/>
          <w:szCs w:val="24"/>
        </w:rPr>
        <w:t xml:space="preserve">Процедурата е по </w:t>
      </w:r>
      <w:r w:rsidRPr="00AE5CD3">
        <w:rPr>
          <w:rFonts w:asciiTheme="majorHAnsi" w:hAnsiTheme="majorHAnsi"/>
          <w:bCs/>
          <w:color w:val="000000"/>
          <w:sz w:val="24"/>
          <w:szCs w:val="24"/>
        </w:rPr>
        <w:t>Приорит</w:t>
      </w:r>
      <w:r w:rsidR="00AE5CD3" w:rsidRPr="00AE5CD3">
        <w:rPr>
          <w:rFonts w:asciiTheme="majorHAnsi" w:hAnsiTheme="majorHAnsi"/>
          <w:bCs/>
          <w:color w:val="000000"/>
          <w:sz w:val="24"/>
          <w:szCs w:val="24"/>
        </w:rPr>
        <w:t>ет 2 на Стратегическа цел 1 от С</w:t>
      </w:r>
      <w:r w:rsidRPr="00AE5CD3">
        <w:rPr>
          <w:rFonts w:asciiTheme="majorHAnsi" w:hAnsiTheme="majorHAnsi"/>
          <w:bCs/>
          <w:color w:val="000000"/>
          <w:sz w:val="24"/>
          <w:szCs w:val="24"/>
        </w:rPr>
        <w:t>тратегията за ВОМР.</w:t>
      </w:r>
    </w:p>
    <w:p w:rsidR="00025E18" w:rsidRPr="00025E18" w:rsidRDefault="00025E18">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lang w:val="ru-RU"/>
        </w:rPr>
      </w:pPr>
      <w:bookmarkStart w:id="12" w:name="_Toc476823135"/>
    </w:p>
    <w:p w:rsidR="005A1B22" w:rsidRPr="00AE5CD3" w:rsidRDefault="005A1B22" w:rsidP="008119B6">
      <w:pPr>
        <w:pStyle w:val="20"/>
        <w:spacing w:before="0" w:line="240" w:lineRule="auto"/>
        <w:rPr>
          <w:rFonts w:asciiTheme="majorHAnsi" w:hAnsiTheme="majorHAnsi"/>
        </w:rPr>
      </w:pPr>
      <w:bookmarkStart w:id="13" w:name="_Toc514333692"/>
      <w:bookmarkStart w:id="14" w:name="_Toc514334532"/>
      <w:bookmarkStart w:id="15" w:name="_Toc514334624"/>
      <w:r w:rsidRPr="00AE5CD3">
        <w:rPr>
          <w:rFonts w:asciiTheme="majorHAnsi" w:hAnsiTheme="majorHAnsi"/>
        </w:rPr>
        <w:t>4. Измерения по кодове</w:t>
      </w:r>
      <w:bookmarkEnd w:id="12"/>
      <w:bookmarkEnd w:id="13"/>
      <w:bookmarkEnd w:id="14"/>
      <w:bookmarkEnd w:id="15"/>
      <w:r w:rsidR="008927ED" w:rsidRPr="00AE5CD3">
        <w:rPr>
          <w:rStyle w:val="ae"/>
          <w:rFonts w:asciiTheme="majorHAnsi" w:hAnsiTheme="majorHAnsi"/>
        </w:rPr>
        <w:footnoteReference w:id="2"/>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Измерение 1 – Област на интервенция:</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firstLine="708"/>
        <w:jc w:val="both"/>
        <w:rPr>
          <w:rFonts w:asciiTheme="majorHAnsi" w:hAnsiTheme="majorHAnsi"/>
          <w:sz w:val="24"/>
          <w:szCs w:val="24"/>
        </w:rPr>
      </w:pPr>
      <w:r w:rsidRPr="00AE5CD3">
        <w:rPr>
          <w:rFonts w:asciiTheme="majorHAnsi" w:hAnsiTheme="majorHAnsi"/>
          <w:sz w:val="24"/>
          <w:szCs w:val="24"/>
        </w:rPr>
        <w:t>097 Инициативи</w:t>
      </w:r>
      <w:r w:rsidR="00360D30" w:rsidRPr="00AE5CD3">
        <w:rPr>
          <w:rFonts w:asciiTheme="majorHAnsi" w:hAnsiTheme="majorHAnsi"/>
          <w:sz w:val="24"/>
          <w:szCs w:val="24"/>
        </w:rPr>
        <w:t xml:space="preserve"> за в</w:t>
      </w:r>
      <w:r w:rsidRPr="00AE5CD3">
        <w:rPr>
          <w:rFonts w:asciiTheme="majorHAnsi" w:hAnsiTheme="majorHAnsi"/>
          <w:sz w:val="24"/>
          <w:szCs w:val="24"/>
        </w:rPr>
        <w:t>одено от общностите местно развитие</w:t>
      </w:r>
      <w:r w:rsidR="00360D30" w:rsidRPr="00AE5CD3">
        <w:rPr>
          <w:rFonts w:asciiTheme="majorHAnsi" w:hAnsiTheme="majorHAnsi"/>
          <w:sz w:val="24"/>
          <w:szCs w:val="24"/>
        </w:rPr>
        <w:t xml:space="preserve"> в градски и селски райони</w:t>
      </w:r>
      <w:r w:rsidR="00FE4DF8" w:rsidRPr="00AE5CD3">
        <w:rPr>
          <w:rFonts w:asciiTheme="majorHAnsi" w:hAnsiTheme="majorHAnsi"/>
          <w:sz w:val="24"/>
          <w:szCs w:val="24"/>
        </w:rPr>
        <w:t>.</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p>
    <w:p w:rsidR="00BB3911"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Измерение 2 – Форма на финансиране:</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firstLine="708"/>
        <w:jc w:val="both"/>
        <w:rPr>
          <w:rFonts w:asciiTheme="majorHAnsi" w:hAnsiTheme="majorHAnsi"/>
          <w:sz w:val="24"/>
          <w:szCs w:val="24"/>
        </w:rPr>
      </w:pPr>
      <w:r w:rsidRPr="00AE5CD3">
        <w:rPr>
          <w:rFonts w:asciiTheme="majorHAnsi" w:hAnsiTheme="majorHAnsi"/>
          <w:sz w:val="24"/>
          <w:szCs w:val="24"/>
        </w:rPr>
        <w:t>01 Безвъзмездни средства.</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p>
    <w:p w:rsidR="00BB3911"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Измерение 3 – Вид територия:</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firstLine="708"/>
        <w:jc w:val="both"/>
        <w:rPr>
          <w:rFonts w:asciiTheme="majorHAnsi" w:hAnsiTheme="majorHAnsi"/>
          <w:sz w:val="24"/>
          <w:szCs w:val="24"/>
        </w:rPr>
      </w:pPr>
      <w:r w:rsidRPr="00AE5CD3">
        <w:rPr>
          <w:rFonts w:asciiTheme="majorHAnsi" w:hAnsiTheme="majorHAnsi"/>
          <w:sz w:val="24"/>
          <w:szCs w:val="24"/>
        </w:rPr>
        <w:t>07 Не се прилага.</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Измерение 4 – Териториални механизми за изпълнение:</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firstLine="708"/>
        <w:jc w:val="both"/>
        <w:rPr>
          <w:rFonts w:asciiTheme="majorHAnsi" w:hAnsiTheme="majorHAnsi"/>
          <w:sz w:val="24"/>
          <w:szCs w:val="24"/>
        </w:rPr>
      </w:pPr>
      <w:r w:rsidRPr="00AE5CD3">
        <w:rPr>
          <w:rFonts w:asciiTheme="majorHAnsi" w:hAnsiTheme="majorHAnsi"/>
          <w:sz w:val="24"/>
          <w:szCs w:val="24"/>
        </w:rPr>
        <w:t>06</w:t>
      </w:r>
      <w:r w:rsidR="00BB3911" w:rsidRPr="00AE5CD3">
        <w:rPr>
          <w:rFonts w:asciiTheme="majorHAnsi" w:hAnsiTheme="majorHAnsi"/>
          <w:sz w:val="24"/>
          <w:szCs w:val="24"/>
        </w:rPr>
        <w:t xml:space="preserve"> Инициативи за в</w:t>
      </w:r>
      <w:r w:rsidRPr="00AE5CD3">
        <w:rPr>
          <w:rFonts w:asciiTheme="majorHAnsi" w:hAnsiTheme="majorHAnsi"/>
          <w:sz w:val="24"/>
          <w:szCs w:val="24"/>
        </w:rPr>
        <w:t>одено от общностите местно развитие</w:t>
      </w:r>
      <w:r w:rsidR="00FE4DF8" w:rsidRPr="00AE5CD3">
        <w:rPr>
          <w:rFonts w:asciiTheme="majorHAnsi" w:hAnsiTheme="majorHAnsi"/>
          <w:sz w:val="24"/>
          <w:szCs w:val="24"/>
        </w:rPr>
        <w:t>.</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 xml:space="preserve">Измерение 5 – Тематична цел </w:t>
      </w:r>
    </w:p>
    <w:p w:rsidR="005A1B22" w:rsidRPr="00AE5CD3" w:rsidRDefault="00BB3911" w:rsidP="008119B6">
      <w:pPr>
        <w:pStyle w:val="aa"/>
        <w:pBdr>
          <w:top w:val="single" w:sz="4" w:space="1" w:color="auto"/>
          <w:left w:val="single" w:sz="4" w:space="4" w:color="auto"/>
          <w:bottom w:val="single" w:sz="4" w:space="1" w:color="auto"/>
          <w:right w:val="single" w:sz="4" w:space="4" w:color="auto"/>
        </w:pBdr>
        <w:spacing w:after="0" w:line="240" w:lineRule="auto"/>
        <w:ind w:left="0" w:firstLine="708"/>
        <w:jc w:val="both"/>
        <w:rPr>
          <w:rFonts w:asciiTheme="majorHAnsi" w:hAnsiTheme="majorHAnsi"/>
          <w:sz w:val="24"/>
          <w:szCs w:val="24"/>
        </w:rPr>
      </w:pPr>
      <w:r w:rsidRPr="00AE5CD3">
        <w:rPr>
          <w:rFonts w:asciiTheme="majorHAnsi" w:hAnsiTheme="majorHAnsi"/>
          <w:sz w:val="24"/>
          <w:szCs w:val="24"/>
        </w:rPr>
        <w:t>03</w:t>
      </w:r>
      <w:r w:rsidR="005A1B22" w:rsidRPr="00AE5CD3">
        <w:rPr>
          <w:rFonts w:asciiTheme="majorHAnsi" w:hAnsiTheme="majorHAnsi"/>
          <w:sz w:val="24"/>
          <w:szCs w:val="24"/>
        </w:rPr>
        <w:t xml:space="preserve"> Повишаване на конкурентоспособността на малките и средните предприятия</w:t>
      </w:r>
      <w:r w:rsidR="00FE4DF8" w:rsidRPr="00AE5CD3">
        <w:rPr>
          <w:rFonts w:asciiTheme="majorHAnsi" w:hAnsiTheme="majorHAnsi"/>
          <w:sz w:val="24"/>
          <w:szCs w:val="24"/>
        </w:rPr>
        <w:t>.</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p>
    <w:p w:rsidR="00BB3911"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Измерение 6 – Вторична тема по ЕСФ</w:t>
      </w:r>
      <w:r w:rsidR="008927ED" w:rsidRPr="00AE5CD3">
        <w:rPr>
          <w:rFonts w:asciiTheme="majorHAnsi" w:hAnsiTheme="majorHAnsi"/>
          <w:sz w:val="24"/>
          <w:szCs w:val="24"/>
        </w:rPr>
        <w:t xml:space="preserve">: </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firstLine="708"/>
        <w:jc w:val="both"/>
        <w:rPr>
          <w:rFonts w:asciiTheme="majorHAnsi" w:hAnsiTheme="majorHAnsi"/>
          <w:sz w:val="24"/>
          <w:szCs w:val="24"/>
        </w:rPr>
      </w:pPr>
      <w:r w:rsidRPr="00AE5CD3">
        <w:rPr>
          <w:rFonts w:asciiTheme="majorHAnsi" w:hAnsiTheme="majorHAnsi"/>
          <w:sz w:val="24"/>
          <w:szCs w:val="24"/>
        </w:rPr>
        <w:t>08 Не се прилага</w:t>
      </w:r>
      <w:r w:rsidR="00FE4DF8" w:rsidRPr="00AE5CD3">
        <w:rPr>
          <w:rFonts w:asciiTheme="majorHAnsi" w:hAnsiTheme="majorHAnsi"/>
          <w:sz w:val="24"/>
          <w:szCs w:val="24"/>
        </w:rPr>
        <w:t>.</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 xml:space="preserve">Измерение 7 – Икономическа дейност </w:t>
      </w:r>
    </w:p>
    <w:p w:rsidR="005A1B22" w:rsidRPr="00AE5CD3" w:rsidRDefault="005A1B22" w:rsidP="008119B6">
      <w:pPr>
        <w:pStyle w:val="20"/>
        <w:spacing w:before="0" w:line="240" w:lineRule="auto"/>
        <w:rPr>
          <w:rFonts w:asciiTheme="majorHAnsi" w:hAnsiTheme="majorHAnsi"/>
        </w:rPr>
      </w:pPr>
      <w:bookmarkStart w:id="16" w:name="_Toc476823136"/>
    </w:p>
    <w:p w:rsidR="005A1B22" w:rsidRPr="00AE5CD3" w:rsidRDefault="005A1B22" w:rsidP="008119B6">
      <w:pPr>
        <w:pStyle w:val="20"/>
        <w:spacing w:before="0" w:line="240" w:lineRule="auto"/>
        <w:rPr>
          <w:rFonts w:asciiTheme="majorHAnsi" w:hAnsiTheme="majorHAnsi"/>
        </w:rPr>
      </w:pPr>
      <w:bookmarkStart w:id="17" w:name="_Toc514333693"/>
      <w:bookmarkStart w:id="18" w:name="_Toc514334533"/>
      <w:bookmarkStart w:id="19" w:name="_Toc514334625"/>
      <w:r w:rsidRPr="00AE5CD3">
        <w:rPr>
          <w:rFonts w:asciiTheme="majorHAnsi" w:hAnsiTheme="majorHAnsi"/>
        </w:rPr>
        <w:t>5. Териториален обхват</w:t>
      </w:r>
      <w:bookmarkEnd w:id="16"/>
      <w:bookmarkEnd w:id="17"/>
      <w:bookmarkEnd w:id="18"/>
      <w:bookmarkEnd w:id="19"/>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i/>
          <w:sz w:val="24"/>
          <w:szCs w:val="24"/>
        </w:rPr>
      </w:pPr>
      <w:r w:rsidRPr="00AE5CD3">
        <w:rPr>
          <w:rFonts w:asciiTheme="majorHAnsi" w:hAnsiTheme="majorHAnsi"/>
          <w:sz w:val="24"/>
          <w:szCs w:val="24"/>
        </w:rPr>
        <w:t xml:space="preserve">Проектите по процедурата ще бъдат изпълнявани на територията на МИГ </w:t>
      </w:r>
      <w:r w:rsidR="00FE4DF8" w:rsidRPr="00AE5CD3">
        <w:rPr>
          <w:rFonts w:asciiTheme="majorHAnsi" w:hAnsiTheme="majorHAnsi"/>
          <w:sz w:val="24"/>
          <w:szCs w:val="24"/>
        </w:rPr>
        <w:t>Кирково-Златоград</w:t>
      </w:r>
      <w:r w:rsidRPr="00AE5CD3">
        <w:rPr>
          <w:rFonts w:asciiTheme="majorHAnsi" w:hAnsiTheme="majorHAnsi"/>
          <w:sz w:val="24"/>
          <w:szCs w:val="24"/>
        </w:rPr>
        <w:t xml:space="preserve">, включващa всички селища от територията на общините </w:t>
      </w:r>
      <w:r w:rsidR="00FE4DF8" w:rsidRPr="00AE5CD3">
        <w:rPr>
          <w:rFonts w:asciiTheme="majorHAnsi" w:hAnsiTheme="majorHAnsi"/>
          <w:sz w:val="24"/>
          <w:szCs w:val="24"/>
        </w:rPr>
        <w:t>Кирково и Златоград,</w:t>
      </w:r>
      <w:r w:rsidRPr="00AE5CD3">
        <w:rPr>
          <w:rFonts w:asciiTheme="majorHAnsi" w:hAnsiTheme="majorHAnsi"/>
          <w:sz w:val="24"/>
          <w:szCs w:val="24"/>
        </w:rPr>
        <w:t xml:space="preserve"> на основание  сключено Споразумение № РД  50-</w:t>
      </w:r>
      <w:r w:rsidR="00FE4DF8" w:rsidRPr="00AE5CD3">
        <w:rPr>
          <w:rFonts w:asciiTheme="majorHAnsi" w:hAnsiTheme="majorHAnsi"/>
          <w:sz w:val="24"/>
          <w:szCs w:val="24"/>
        </w:rPr>
        <w:t>41</w:t>
      </w:r>
      <w:r w:rsidRPr="00AE5CD3">
        <w:rPr>
          <w:rFonts w:asciiTheme="majorHAnsi" w:hAnsiTheme="majorHAnsi"/>
          <w:sz w:val="24"/>
          <w:szCs w:val="24"/>
        </w:rPr>
        <w:t>/2</w:t>
      </w:r>
      <w:r w:rsidR="00FE4DF8" w:rsidRPr="00AE5CD3">
        <w:rPr>
          <w:rFonts w:asciiTheme="majorHAnsi" w:hAnsiTheme="majorHAnsi"/>
          <w:sz w:val="24"/>
          <w:szCs w:val="24"/>
        </w:rPr>
        <w:t>7</w:t>
      </w:r>
      <w:r w:rsidRPr="00AE5CD3">
        <w:rPr>
          <w:rFonts w:asciiTheme="majorHAnsi" w:hAnsiTheme="majorHAnsi"/>
          <w:sz w:val="24"/>
          <w:szCs w:val="24"/>
        </w:rPr>
        <w:t>.</w:t>
      </w:r>
      <w:r w:rsidR="00FE4DF8" w:rsidRPr="00AE5CD3">
        <w:rPr>
          <w:rFonts w:asciiTheme="majorHAnsi" w:hAnsiTheme="majorHAnsi"/>
          <w:sz w:val="24"/>
          <w:szCs w:val="24"/>
        </w:rPr>
        <w:t>04</w:t>
      </w:r>
      <w:r w:rsidRPr="00AE5CD3">
        <w:rPr>
          <w:rFonts w:asciiTheme="majorHAnsi" w:hAnsiTheme="majorHAnsi"/>
          <w:sz w:val="24"/>
          <w:szCs w:val="24"/>
        </w:rPr>
        <w:t>.201</w:t>
      </w:r>
      <w:r w:rsidR="00FE4DF8" w:rsidRPr="00AE5CD3">
        <w:rPr>
          <w:rFonts w:asciiTheme="majorHAnsi" w:hAnsiTheme="majorHAnsi"/>
          <w:sz w:val="24"/>
          <w:szCs w:val="24"/>
        </w:rPr>
        <w:t>8</w:t>
      </w:r>
      <w:r w:rsidRPr="00AE5CD3">
        <w:rPr>
          <w:rFonts w:asciiTheme="majorHAnsi" w:hAnsiTheme="majorHAnsi"/>
          <w:sz w:val="24"/>
          <w:szCs w:val="24"/>
        </w:rPr>
        <w:t xml:space="preserve"> г. за изпълнение на Стратегия за ВОМР.</w:t>
      </w:r>
    </w:p>
    <w:p w:rsidR="005A1B22" w:rsidRPr="00AE5CD3" w:rsidRDefault="005A1B22" w:rsidP="008119B6">
      <w:pPr>
        <w:pStyle w:val="20"/>
        <w:spacing w:before="0" w:line="240" w:lineRule="auto"/>
        <w:rPr>
          <w:rFonts w:asciiTheme="majorHAnsi" w:hAnsiTheme="majorHAnsi"/>
        </w:rPr>
      </w:pPr>
      <w:bookmarkStart w:id="20" w:name="_Toc476823137"/>
    </w:p>
    <w:p w:rsidR="005A1B22" w:rsidRPr="00AE5CD3" w:rsidRDefault="005A1B22" w:rsidP="008119B6">
      <w:pPr>
        <w:pStyle w:val="20"/>
        <w:spacing w:before="0" w:line="240" w:lineRule="auto"/>
        <w:rPr>
          <w:rFonts w:asciiTheme="majorHAnsi" w:hAnsiTheme="majorHAnsi"/>
        </w:rPr>
      </w:pPr>
      <w:bookmarkStart w:id="21" w:name="_Toc514333694"/>
      <w:bookmarkStart w:id="22" w:name="_Toc514334534"/>
      <w:bookmarkStart w:id="23" w:name="_Toc514334626"/>
      <w:r w:rsidRPr="00AE5CD3">
        <w:rPr>
          <w:rFonts w:asciiTheme="majorHAnsi" w:hAnsiTheme="majorHAnsi"/>
        </w:rPr>
        <w:t xml:space="preserve">6. Цели на предоставяната </w:t>
      </w:r>
      <w:r w:rsidRPr="00AE5CD3">
        <w:rPr>
          <w:rFonts w:asciiTheme="majorHAnsi" w:eastAsia="Calibri" w:hAnsiTheme="majorHAnsi"/>
        </w:rPr>
        <w:t>безвъзмездна финансова помощ</w:t>
      </w:r>
      <w:r w:rsidRPr="00AE5CD3">
        <w:rPr>
          <w:rFonts w:asciiTheme="majorHAnsi" w:hAnsiTheme="majorHAnsi"/>
        </w:rPr>
        <w:t xml:space="preserve"> по процедурата и очаквани резултати</w:t>
      </w:r>
      <w:bookmarkEnd w:id="20"/>
      <w:bookmarkEnd w:id="21"/>
      <w:bookmarkEnd w:id="22"/>
      <w:bookmarkEnd w:id="23"/>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b/>
          <w:sz w:val="24"/>
          <w:szCs w:val="24"/>
        </w:rPr>
      </w:pPr>
      <w:r w:rsidRPr="00AE5CD3">
        <w:rPr>
          <w:rFonts w:asciiTheme="majorHAnsi" w:hAnsiTheme="majorHAnsi"/>
          <w:b/>
          <w:sz w:val="24"/>
          <w:szCs w:val="24"/>
        </w:rPr>
        <w:t>Цели:</w:t>
      </w:r>
    </w:p>
    <w:p w:rsidR="00FE4DF8" w:rsidRPr="00AE5CD3" w:rsidRDefault="000354A2"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sz w:val="24"/>
          <w:szCs w:val="24"/>
        </w:rPr>
      </w:pPr>
      <w:r w:rsidRPr="00AE5CD3">
        <w:rPr>
          <w:rFonts w:asciiTheme="majorHAnsi" w:hAnsiTheme="majorHAnsi"/>
          <w:sz w:val="24"/>
          <w:szCs w:val="24"/>
        </w:rPr>
        <w:t xml:space="preserve">- </w:t>
      </w:r>
      <w:r w:rsidR="00FE4DF8" w:rsidRPr="00AE5CD3">
        <w:rPr>
          <w:rFonts w:asciiTheme="majorHAnsi" w:hAnsiTheme="majorHAnsi"/>
          <w:sz w:val="24"/>
          <w:szCs w:val="24"/>
        </w:rPr>
        <w:t xml:space="preserve">Повишаване на конкурентоспособността на икономиката на територията на МИГ Кирково – Златоград, включително чрез диверсификация и алтернативни дейности. </w:t>
      </w:r>
    </w:p>
    <w:p w:rsidR="00FE4DF8" w:rsidRPr="00AE5CD3" w:rsidRDefault="000354A2"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sz w:val="24"/>
          <w:szCs w:val="24"/>
        </w:rPr>
      </w:pPr>
      <w:r w:rsidRPr="00AE5CD3">
        <w:rPr>
          <w:rFonts w:asciiTheme="majorHAnsi" w:hAnsiTheme="majorHAnsi"/>
          <w:sz w:val="24"/>
          <w:szCs w:val="24"/>
        </w:rPr>
        <w:lastRenderedPageBreak/>
        <w:t xml:space="preserve">- </w:t>
      </w:r>
      <w:r w:rsidR="00FE4DF8" w:rsidRPr="00AE5CD3">
        <w:rPr>
          <w:rFonts w:asciiTheme="majorHAnsi" w:hAnsiTheme="majorHAnsi"/>
          <w:sz w:val="24"/>
          <w:szCs w:val="24"/>
        </w:rPr>
        <w:t>Повишаване на производителността и експортния потенциал на малките и средни предприятия на територията на МИГ</w:t>
      </w:r>
      <w:r w:rsidRPr="00AE5CD3">
        <w:rPr>
          <w:rFonts w:asciiTheme="majorHAnsi" w:hAnsiTheme="majorHAnsi"/>
          <w:sz w:val="24"/>
          <w:szCs w:val="24"/>
        </w:rPr>
        <w:t xml:space="preserve"> Кирково-Златоград</w:t>
      </w:r>
      <w:r w:rsidR="00D34557" w:rsidRPr="00AE5CD3">
        <w:rPr>
          <w:rFonts w:asciiTheme="majorHAnsi" w:hAnsiTheme="majorHAnsi"/>
          <w:sz w:val="24"/>
          <w:szCs w:val="24"/>
        </w:rPr>
        <w:t>, подобряване нивото на оцеляване, подобряване на производствените процеси</w:t>
      </w:r>
      <w:r w:rsidR="00780C03" w:rsidRPr="00780C03">
        <w:rPr>
          <w:rFonts w:asciiTheme="majorHAnsi" w:hAnsiTheme="majorHAnsi"/>
          <w:sz w:val="24"/>
          <w:szCs w:val="24"/>
          <w:lang w:val="ru-RU"/>
        </w:rPr>
        <w:t xml:space="preserve"> </w:t>
      </w:r>
      <w:r w:rsidR="00D34557" w:rsidRPr="00AE5CD3">
        <w:rPr>
          <w:rFonts w:asciiTheme="majorHAnsi" w:hAnsiTheme="majorHAnsi"/>
          <w:sz w:val="24"/>
          <w:szCs w:val="24"/>
        </w:rPr>
        <w:t xml:space="preserve">и производствения капацитет на   тези предприятия. </w:t>
      </w:r>
    </w:p>
    <w:p w:rsidR="00D34557" w:rsidRPr="00AE5CD3" w:rsidRDefault="00D34557"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imes New Roman" w:eastAsia="SimSun" w:hAnsi="Times New Roman"/>
          <w:b/>
          <w:bCs/>
          <w:lang w:eastAsia="zh-CN"/>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b/>
          <w:sz w:val="24"/>
          <w:szCs w:val="24"/>
        </w:rPr>
      </w:pPr>
      <w:r w:rsidRPr="00AE5CD3">
        <w:rPr>
          <w:rFonts w:asciiTheme="majorHAnsi" w:hAnsiTheme="majorHAnsi"/>
          <w:b/>
          <w:sz w:val="24"/>
          <w:szCs w:val="24"/>
        </w:rPr>
        <w:t>Обосновка:</w:t>
      </w:r>
    </w:p>
    <w:p w:rsidR="003A1CA8" w:rsidRPr="00AE5CD3" w:rsidRDefault="003A1CA8"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sz w:val="24"/>
          <w:szCs w:val="24"/>
        </w:rPr>
      </w:pPr>
      <w:r w:rsidRPr="00AE5CD3">
        <w:rPr>
          <w:rFonts w:asciiTheme="majorHAnsi" w:hAnsiTheme="majorHAnsi"/>
          <w:sz w:val="24"/>
          <w:szCs w:val="24"/>
        </w:rPr>
        <w:t xml:space="preserve">Малките и средните предприятия са ключов източник за създаване на работни места, нови бизнес идеи,  предприемачески умения и иновации. Те са в основата на  конкурентоспособната  и устойчива икономика, включително  за развитието на територията на МИГ Кирково – Златоград. </w:t>
      </w:r>
      <w:r w:rsidR="00B914C0" w:rsidRPr="00AE5CD3">
        <w:rPr>
          <w:rFonts w:asciiTheme="majorHAnsi" w:hAnsiTheme="majorHAnsi"/>
          <w:sz w:val="24"/>
          <w:szCs w:val="24"/>
        </w:rPr>
        <w:t>Поради това, н</w:t>
      </w:r>
      <w:r w:rsidRPr="00AE5CD3">
        <w:rPr>
          <w:rFonts w:asciiTheme="majorHAnsi" w:hAnsiTheme="majorHAnsi"/>
          <w:sz w:val="24"/>
          <w:szCs w:val="24"/>
        </w:rPr>
        <w:t>астоящата процедура  пряко влияе върху  заложената цел №1 на СВОМР на територията  за „Устойчиво и балансирано икономическо развитие чрез повишаване конкурентоспособността на местната икономика”.</w:t>
      </w:r>
    </w:p>
    <w:p w:rsidR="00B914C0" w:rsidRPr="00AE5CD3" w:rsidRDefault="00A034FD"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color w:val="000000"/>
          <w:sz w:val="24"/>
          <w:szCs w:val="24"/>
        </w:rPr>
      </w:pPr>
      <w:r w:rsidRPr="00A034FD">
        <w:rPr>
          <w:rFonts w:asciiTheme="majorHAnsi" w:hAnsiTheme="majorHAnsi"/>
          <w:color w:val="000000"/>
          <w:sz w:val="24"/>
          <w:szCs w:val="24"/>
        </w:rPr>
        <w:t>Промишлеността в община Кирково е представена главно от металообработване и шивачество, като индустриалните предприятия нямат характер на структуроопределящи отрасли. Промишлеността в община Златоград се развива в следните отрасли - минно-добивен, производство на текстил, шивачество, машиностроене и металообработка; дърводобив и дървопреработване, производство на мебели и хранително-вкусова промишленост</w:t>
      </w:r>
      <w:r w:rsidR="00B914C0" w:rsidRPr="00AE5CD3">
        <w:rPr>
          <w:rFonts w:asciiTheme="majorHAnsi" w:hAnsiTheme="majorHAnsi"/>
          <w:color w:val="000000"/>
          <w:sz w:val="24"/>
          <w:szCs w:val="24"/>
        </w:rPr>
        <w:t>.</w:t>
      </w:r>
    </w:p>
    <w:p w:rsidR="00ED3284" w:rsidRPr="00AE5CD3" w:rsidRDefault="00ED3284"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sz w:val="24"/>
          <w:szCs w:val="24"/>
        </w:rPr>
      </w:pPr>
      <w:r w:rsidRPr="00AE5CD3">
        <w:rPr>
          <w:rFonts w:asciiTheme="majorHAnsi" w:eastAsia="MS Mincho" w:hAnsiTheme="majorHAnsi"/>
          <w:color w:val="000000"/>
          <w:sz w:val="24"/>
          <w:szCs w:val="24"/>
        </w:rPr>
        <w:t xml:space="preserve">След направените проучвания на разглежданата територия  бяха идентифицирани следните  проблеми на малките и средни предприятия:  ограничена производствена структура, сравнително остаряла материална база, ниска технологична модернизация и технологично обновление на производствената база,  неосигуреност с квалифицирани кадри, недостатъчно използване на трансграничното сътрудничество  и ограничен достъп да чуждестранни пазари. </w:t>
      </w:r>
      <w:r w:rsidRPr="00AE5CD3">
        <w:rPr>
          <w:rFonts w:asciiTheme="majorHAnsi" w:hAnsiTheme="majorHAnsi"/>
          <w:sz w:val="24"/>
          <w:szCs w:val="24"/>
        </w:rPr>
        <w:t>Малките и средните предприятия на територията на МИГ Кирково и Златоград не са достатъчно конкурентноспособни поради – високи произ</w:t>
      </w:r>
      <w:r w:rsidR="0040553B" w:rsidRPr="00AE5CD3">
        <w:rPr>
          <w:rFonts w:asciiTheme="majorHAnsi" w:hAnsiTheme="majorHAnsi"/>
          <w:sz w:val="24"/>
          <w:szCs w:val="24"/>
        </w:rPr>
        <w:t>водствени разходи, използване н</w:t>
      </w:r>
      <w:r w:rsidRPr="00AE5CD3">
        <w:rPr>
          <w:rFonts w:asciiTheme="majorHAnsi" w:hAnsiTheme="majorHAnsi"/>
          <w:sz w:val="24"/>
          <w:szCs w:val="24"/>
        </w:rPr>
        <w:t>а остарели технологии, ограничени ресурси и достъп до нови технологии и системи за управление.</w:t>
      </w:r>
    </w:p>
    <w:p w:rsidR="00151141" w:rsidRPr="00AE5CD3" w:rsidRDefault="00281783"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color w:val="000000"/>
          <w:sz w:val="24"/>
          <w:szCs w:val="24"/>
        </w:rPr>
      </w:pPr>
      <w:r w:rsidRPr="00AE5CD3">
        <w:rPr>
          <w:rFonts w:asciiTheme="majorHAnsi" w:hAnsiTheme="majorHAnsi"/>
          <w:color w:val="000000"/>
          <w:sz w:val="24"/>
          <w:szCs w:val="24"/>
        </w:rPr>
        <w:t xml:space="preserve">Определянето на основнитe цели на процедурата  съответстват на потенциала на територията на МИГ Кирково-Златоград, идентифицирани при  нейния анализ, а именно: </w:t>
      </w:r>
      <w:r w:rsidR="00B914C0" w:rsidRPr="00AE5CD3">
        <w:rPr>
          <w:rFonts w:asciiTheme="majorHAnsi" w:hAnsiTheme="majorHAnsi"/>
          <w:color w:val="000000"/>
          <w:sz w:val="24"/>
          <w:szCs w:val="24"/>
        </w:rPr>
        <w:t xml:space="preserve">  развита и  сравнително </w:t>
      </w:r>
      <w:r w:rsidR="00151141" w:rsidRPr="00AE5CD3">
        <w:rPr>
          <w:rFonts w:asciiTheme="majorHAnsi" w:hAnsiTheme="majorHAnsi"/>
          <w:color w:val="000000"/>
          <w:sz w:val="24"/>
          <w:szCs w:val="24"/>
        </w:rPr>
        <w:t xml:space="preserve">диверсифицирана структура </w:t>
      </w:r>
      <w:r w:rsidR="00ED3284" w:rsidRPr="00AE5CD3">
        <w:rPr>
          <w:rFonts w:asciiTheme="majorHAnsi" w:hAnsiTheme="majorHAnsi"/>
          <w:color w:val="000000"/>
          <w:sz w:val="24"/>
          <w:szCs w:val="24"/>
        </w:rPr>
        <w:t xml:space="preserve">на </w:t>
      </w:r>
      <w:r w:rsidR="00151141" w:rsidRPr="00AE5CD3">
        <w:rPr>
          <w:rFonts w:asciiTheme="majorHAnsi" w:hAnsiTheme="majorHAnsi"/>
          <w:color w:val="000000"/>
          <w:sz w:val="24"/>
          <w:szCs w:val="24"/>
        </w:rPr>
        <w:t>икономика</w:t>
      </w:r>
      <w:r w:rsidR="00ED3284" w:rsidRPr="00AE5CD3">
        <w:rPr>
          <w:rFonts w:asciiTheme="majorHAnsi" w:hAnsiTheme="majorHAnsi"/>
          <w:color w:val="000000"/>
          <w:sz w:val="24"/>
          <w:szCs w:val="24"/>
        </w:rPr>
        <w:t xml:space="preserve">та </w:t>
      </w:r>
      <w:r w:rsidR="00151141" w:rsidRPr="00AE5CD3">
        <w:rPr>
          <w:rFonts w:asciiTheme="majorHAnsi" w:hAnsiTheme="majorHAnsi"/>
          <w:color w:val="000000"/>
          <w:sz w:val="24"/>
          <w:szCs w:val="24"/>
        </w:rPr>
        <w:t xml:space="preserve"> на територията на община Златоград и изградена добра производствена база в община Кирково, представляващи висок потенциал за устойчиво икономическо развитие. </w:t>
      </w:r>
    </w:p>
    <w:p w:rsidR="00151141" w:rsidRPr="00AE5CD3" w:rsidRDefault="00ED3284"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color w:val="000000"/>
          <w:sz w:val="24"/>
          <w:szCs w:val="24"/>
        </w:rPr>
      </w:pPr>
      <w:r w:rsidRPr="00AE5CD3">
        <w:rPr>
          <w:rFonts w:asciiTheme="majorHAnsi" w:hAnsiTheme="majorHAnsi"/>
          <w:color w:val="000000"/>
          <w:sz w:val="24"/>
          <w:szCs w:val="24"/>
        </w:rPr>
        <w:t xml:space="preserve">Има </w:t>
      </w:r>
      <w:r w:rsidR="00151141" w:rsidRPr="00AE5CD3">
        <w:rPr>
          <w:rFonts w:asciiTheme="majorHAnsi" w:hAnsiTheme="majorHAnsi"/>
          <w:color w:val="000000"/>
          <w:sz w:val="24"/>
          <w:szCs w:val="24"/>
        </w:rPr>
        <w:t>потенциал  за повишаване на капацитета и експортния потенциал на предприятията от групата високотехнологични и средно високотехнологични  промишлени производства (3 предприятия), както и нискотехнологичните и средно нискотехнологични  промишлени производства (основно в секторите С13 „Производство на текстил и изделия от текстил, без облекло“; С14 „Производство на облекло“; С15 „Обработка на кожи; производство на обувки и други изделия от обработени кожи без косъм“) – 29 предприятия.</w:t>
      </w:r>
    </w:p>
    <w:p w:rsidR="001A5D90" w:rsidRPr="00AE5CD3" w:rsidRDefault="00936F25"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sz w:val="24"/>
          <w:szCs w:val="24"/>
        </w:rPr>
      </w:pPr>
      <w:r w:rsidRPr="00AE5CD3">
        <w:rPr>
          <w:rFonts w:asciiTheme="majorHAnsi" w:hAnsiTheme="majorHAnsi"/>
          <w:sz w:val="24"/>
          <w:szCs w:val="24"/>
        </w:rPr>
        <w:t xml:space="preserve">Потребностите на </w:t>
      </w:r>
      <w:r w:rsidR="001A5D90" w:rsidRPr="00AE5CD3">
        <w:rPr>
          <w:rFonts w:asciiTheme="majorHAnsi" w:hAnsiTheme="majorHAnsi"/>
          <w:sz w:val="24"/>
          <w:szCs w:val="24"/>
        </w:rPr>
        <w:t>МСП</w:t>
      </w:r>
      <w:r w:rsidR="0058357F" w:rsidRPr="00AE5CD3">
        <w:rPr>
          <w:rFonts w:asciiTheme="majorHAnsi" w:hAnsiTheme="majorHAnsi"/>
          <w:sz w:val="24"/>
          <w:szCs w:val="24"/>
        </w:rPr>
        <w:t>, които ще бъдат решавани чрез настоящата процедура са</w:t>
      </w:r>
      <w:r w:rsidR="001A5D90" w:rsidRPr="00AE5CD3">
        <w:rPr>
          <w:rFonts w:asciiTheme="majorHAnsi" w:hAnsiTheme="majorHAnsi"/>
          <w:sz w:val="24"/>
          <w:szCs w:val="24"/>
        </w:rPr>
        <w:t>:</w:t>
      </w:r>
    </w:p>
    <w:p w:rsidR="001A5D90" w:rsidRPr="00AE5CD3" w:rsidRDefault="001A5D90"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sz w:val="24"/>
          <w:szCs w:val="24"/>
        </w:rPr>
      </w:pPr>
      <w:r w:rsidRPr="00AE5CD3">
        <w:rPr>
          <w:rFonts w:asciiTheme="majorHAnsi" w:hAnsiTheme="majorHAnsi"/>
          <w:sz w:val="24"/>
          <w:szCs w:val="24"/>
        </w:rPr>
        <w:t>-</w:t>
      </w:r>
      <w:r w:rsidR="00936F25" w:rsidRPr="00AE5CD3">
        <w:rPr>
          <w:rFonts w:asciiTheme="majorHAnsi" w:hAnsiTheme="majorHAnsi"/>
          <w:sz w:val="24"/>
          <w:szCs w:val="24"/>
        </w:rPr>
        <w:t xml:space="preserve"> подобряване на производствените мощности на предприятията, </w:t>
      </w:r>
    </w:p>
    <w:p w:rsidR="001A5D90" w:rsidRPr="00AE5CD3" w:rsidRDefault="001A5D90"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sz w:val="24"/>
          <w:szCs w:val="24"/>
        </w:rPr>
      </w:pPr>
      <w:r w:rsidRPr="00AE5CD3">
        <w:rPr>
          <w:rFonts w:asciiTheme="majorHAnsi" w:hAnsiTheme="majorHAnsi"/>
          <w:sz w:val="24"/>
          <w:szCs w:val="24"/>
        </w:rPr>
        <w:t xml:space="preserve">- </w:t>
      </w:r>
      <w:r w:rsidR="00936F25" w:rsidRPr="00AE5CD3">
        <w:rPr>
          <w:rFonts w:asciiTheme="majorHAnsi" w:hAnsiTheme="majorHAnsi"/>
          <w:sz w:val="24"/>
          <w:szCs w:val="24"/>
        </w:rPr>
        <w:t xml:space="preserve">внедряване на нови технологии в производствените процеси, </w:t>
      </w:r>
    </w:p>
    <w:p w:rsidR="001A5D90" w:rsidRPr="00AE5CD3" w:rsidRDefault="001A5D90"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sz w:val="24"/>
          <w:szCs w:val="24"/>
        </w:rPr>
      </w:pPr>
      <w:r w:rsidRPr="00AE5CD3">
        <w:rPr>
          <w:rFonts w:asciiTheme="majorHAnsi" w:hAnsiTheme="majorHAnsi"/>
          <w:sz w:val="24"/>
          <w:szCs w:val="24"/>
        </w:rPr>
        <w:t>- добавяне на нови характеристики или подобряване на съществуващите продукти и услуги;</w:t>
      </w:r>
    </w:p>
    <w:p w:rsidR="001C4C39" w:rsidRPr="00AE5CD3" w:rsidRDefault="001A5D90"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color w:val="000000"/>
          <w:sz w:val="24"/>
          <w:szCs w:val="24"/>
        </w:rPr>
      </w:pPr>
      <w:r w:rsidRPr="00AE5CD3">
        <w:rPr>
          <w:rFonts w:asciiTheme="majorHAnsi" w:hAnsiTheme="majorHAnsi"/>
          <w:sz w:val="24"/>
          <w:szCs w:val="24"/>
        </w:rPr>
        <w:t xml:space="preserve">- </w:t>
      </w:r>
      <w:r w:rsidR="001C4C39" w:rsidRPr="00AE5CD3">
        <w:rPr>
          <w:rFonts w:asciiTheme="majorHAnsi" w:hAnsiTheme="majorHAnsi"/>
          <w:sz w:val="24"/>
          <w:szCs w:val="24"/>
        </w:rPr>
        <w:t xml:space="preserve">разнообразяване на асортимента от продукти и услуги на предприятията  </w:t>
      </w:r>
      <w:r w:rsidR="001C4C39" w:rsidRPr="00AE5CD3">
        <w:rPr>
          <w:rFonts w:asciiTheme="majorHAnsi" w:hAnsiTheme="majorHAnsi"/>
          <w:color w:val="000000"/>
          <w:sz w:val="24"/>
          <w:szCs w:val="24"/>
        </w:rPr>
        <w:t>и  диверсификация на икономиката на Територията на МИГ;</w:t>
      </w:r>
    </w:p>
    <w:p w:rsidR="001A5D90" w:rsidRPr="00AE5CD3" w:rsidRDefault="001C4C39"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sz w:val="24"/>
          <w:szCs w:val="24"/>
        </w:rPr>
      </w:pPr>
      <w:r w:rsidRPr="00AE5CD3">
        <w:rPr>
          <w:rFonts w:asciiTheme="majorHAnsi" w:hAnsiTheme="majorHAnsi"/>
          <w:sz w:val="24"/>
          <w:szCs w:val="24"/>
        </w:rPr>
        <w:t xml:space="preserve">- </w:t>
      </w:r>
      <w:r w:rsidR="00936F25" w:rsidRPr="00AE5CD3">
        <w:rPr>
          <w:rFonts w:asciiTheme="majorHAnsi" w:hAnsiTheme="majorHAnsi"/>
          <w:sz w:val="24"/>
          <w:szCs w:val="24"/>
        </w:rPr>
        <w:t xml:space="preserve">повишаване и подобряване на използването на ИКТ и услуги, </w:t>
      </w:r>
    </w:p>
    <w:p w:rsidR="001A5D90" w:rsidRPr="00AE5CD3" w:rsidRDefault="001A5D90"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color w:val="000000"/>
          <w:sz w:val="24"/>
          <w:szCs w:val="24"/>
        </w:rPr>
      </w:pPr>
      <w:r w:rsidRPr="00AE5CD3">
        <w:rPr>
          <w:rFonts w:asciiTheme="majorHAnsi" w:hAnsiTheme="majorHAnsi"/>
          <w:sz w:val="24"/>
          <w:szCs w:val="24"/>
        </w:rPr>
        <w:t>-</w:t>
      </w:r>
      <w:r w:rsidR="00936F25" w:rsidRPr="00AE5CD3">
        <w:rPr>
          <w:rFonts w:asciiTheme="majorHAnsi" w:hAnsiTheme="majorHAnsi"/>
          <w:sz w:val="24"/>
          <w:szCs w:val="24"/>
        </w:rPr>
        <w:t>оптимизиране на про</w:t>
      </w:r>
      <w:r w:rsidR="0058357F" w:rsidRPr="00AE5CD3">
        <w:rPr>
          <w:rFonts w:asciiTheme="majorHAnsi" w:hAnsiTheme="majorHAnsi"/>
          <w:sz w:val="24"/>
          <w:szCs w:val="24"/>
        </w:rPr>
        <w:t xml:space="preserve">цесите за управление на бизнеса,  </w:t>
      </w:r>
    </w:p>
    <w:p w:rsidR="001A5D90" w:rsidRPr="00AE5CD3" w:rsidRDefault="001A5D90"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color w:val="000000"/>
          <w:sz w:val="24"/>
          <w:szCs w:val="24"/>
        </w:rPr>
      </w:pPr>
      <w:r w:rsidRPr="00AE5CD3">
        <w:rPr>
          <w:rFonts w:asciiTheme="majorHAnsi" w:hAnsiTheme="majorHAnsi"/>
          <w:color w:val="000000"/>
          <w:sz w:val="24"/>
          <w:szCs w:val="24"/>
        </w:rPr>
        <w:t xml:space="preserve">- </w:t>
      </w:r>
      <w:r w:rsidR="00936F25" w:rsidRPr="00AE5CD3">
        <w:rPr>
          <w:rFonts w:asciiTheme="majorHAnsi" w:hAnsiTheme="majorHAnsi"/>
          <w:color w:val="000000"/>
          <w:sz w:val="24"/>
          <w:szCs w:val="24"/>
        </w:rPr>
        <w:t xml:space="preserve">създаване на нови високотехнологични и иновативни производства с висока добавена стойност и експортен потенциал. </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color w:val="000000"/>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b/>
          <w:color w:val="000000"/>
          <w:sz w:val="24"/>
          <w:szCs w:val="24"/>
        </w:rPr>
      </w:pPr>
      <w:r w:rsidRPr="00AE5CD3">
        <w:rPr>
          <w:rFonts w:asciiTheme="majorHAnsi" w:hAnsiTheme="majorHAnsi"/>
          <w:b/>
          <w:color w:val="000000"/>
          <w:sz w:val="24"/>
          <w:szCs w:val="24"/>
        </w:rPr>
        <w:t>Очаквани резултати:</w:t>
      </w:r>
    </w:p>
    <w:p w:rsidR="00C77F2F" w:rsidRPr="00AE5CD3" w:rsidRDefault="007A4CB1"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color w:val="000000"/>
          <w:sz w:val="24"/>
          <w:szCs w:val="24"/>
        </w:rPr>
      </w:pPr>
      <w:r w:rsidRPr="00AE5CD3">
        <w:rPr>
          <w:rFonts w:asciiTheme="majorHAnsi" w:hAnsiTheme="majorHAnsi"/>
          <w:color w:val="000000"/>
          <w:sz w:val="24"/>
          <w:szCs w:val="24"/>
        </w:rPr>
        <w:t>Крайният резултат от изпълнение на процедурата е „</w:t>
      </w:r>
      <w:r w:rsidR="00C77F2F" w:rsidRPr="00AE5CD3">
        <w:rPr>
          <w:rFonts w:asciiTheme="majorHAnsi" w:hAnsiTheme="majorHAnsi"/>
          <w:color w:val="000000"/>
          <w:sz w:val="24"/>
          <w:szCs w:val="24"/>
        </w:rPr>
        <w:t>Трансфер на знания и технологии на местно ниво чрез инвестиции за повишаване на капацитета на МСП за пазарно развитие, вкл. Експортен потенциал и производителността на труда на територията на МИГ Кирково – Златоград</w:t>
      </w:r>
      <w:r w:rsidRPr="00AE5CD3">
        <w:rPr>
          <w:rFonts w:asciiTheme="majorHAnsi" w:hAnsiTheme="majorHAnsi"/>
          <w:color w:val="000000"/>
          <w:sz w:val="24"/>
          <w:szCs w:val="24"/>
        </w:rPr>
        <w:t>”.</w:t>
      </w:r>
    </w:p>
    <w:p w:rsidR="007A4CB1" w:rsidRPr="00AE5CD3" w:rsidRDefault="007A4CB1"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color w:val="000000"/>
          <w:sz w:val="24"/>
          <w:szCs w:val="24"/>
        </w:rPr>
      </w:pPr>
      <w:r w:rsidRPr="00AE5CD3">
        <w:rPr>
          <w:rFonts w:asciiTheme="majorHAnsi" w:hAnsiTheme="majorHAnsi"/>
          <w:color w:val="000000"/>
          <w:sz w:val="24"/>
          <w:szCs w:val="24"/>
        </w:rPr>
        <w:t>Конкретните очаквани резултати са:</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eastAsia="Times New Roman" w:hAnsiTheme="majorHAnsi"/>
          <w:i/>
          <w:sz w:val="24"/>
          <w:szCs w:val="24"/>
          <w:lang w:eastAsia="bg-BG"/>
        </w:rPr>
      </w:pPr>
      <w:r w:rsidRPr="00AE5CD3">
        <w:rPr>
          <w:rFonts w:asciiTheme="majorHAnsi" w:eastAsia="Times New Roman" w:hAnsiTheme="majorHAnsi"/>
          <w:i/>
          <w:sz w:val="24"/>
          <w:szCs w:val="24"/>
          <w:lang w:eastAsia="bg-BG"/>
        </w:rPr>
        <w:t>•</w:t>
      </w:r>
      <w:r w:rsidRPr="00AE5CD3">
        <w:rPr>
          <w:rFonts w:asciiTheme="majorHAnsi" w:eastAsia="Times New Roman" w:hAnsiTheme="majorHAnsi"/>
          <w:i/>
          <w:sz w:val="24"/>
          <w:szCs w:val="24"/>
          <w:lang w:eastAsia="bg-BG"/>
        </w:rPr>
        <w:tab/>
      </w:r>
      <w:r w:rsidR="00FB3900" w:rsidRPr="00AE5CD3">
        <w:rPr>
          <w:rFonts w:asciiTheme="majorHAnsi" w:eastAsia="Times New Roman" w:hAnsiTheme="majorHAnsi"/>
          <w:i/>
          <w:sz w:val="24"/>
          <w:szCs w:val="24"/>
          <w:lang w:eastAsia="bg-BG"/>
        </w:rPr>
        <w:t xml:space="preserve">нарастване на общите </w:t>
      </w:r>
      <w:r w:rsidRPr="00AE5CD3">
        <w:rPr>
          <w:rFonts w:asciiTheme="majorHAnsi" w:eastAsia="Times New Roman" w:hAnsiTheme="majorHAnsi"/>
          <w:i/>
          <w:sz w:val="24"/>
          <w:szCs w:val="24"/>
          <w:lang w:eastAsia="bg-BG"/>
        </w:rPr>
        <w:t xml:space="preserve"> производствени инвестиции за подобряване на производствения капацитет за растеж чрез ефективното и ефикасно използване на факторите на производство и чрез изграждането на възможности за възприемане и адаптиране на европейски и международни знания и технологии;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eastAsia="Times New Roman" w:hAnsiTheme="majorHAnsi"/>
          <w:sz w:val="24"/>
          <w:szCs w:val="24"/>
          <w:lang w:eastAsia="bg-BG"/>
        </w:rPr>
      </w:pPr>
      <w:r w:rsidRPr="00AE5CD3">
        <w:rPr>
          <w:rFonts w:asciiTheme="majorHAnsi" w:eastAsia="Times New Roman" w:hAnsiTheme="majorHAnsi"/>
          <w:sz w:val="24"/>
          <w:szCs w:val="24"/>
          <w:lang w:eastAsia="bg-BG"/>
        </w:rPr>
        <w:t>В резултат на подкрепените дейности се очаква подобряване на конкурентоспособността, създаване на потенциал за експорт и подобряване на пазарното присъствие на МСП на териториите на МИГ, чрез внедрени технологии за подобряване на производствения процес, постигане на по-висока производителност, намаляване на производствените разходи и оптимизиране на производствената верига, съответно повишаване на добавената стойност и активно включване във всички етапи на веригата за добавяне на стойност.</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eastAsia="Times New Roman" w:hAnsiTheme="majorHAnsi"/>
          <w:i/>
          <w:sz w:val="24"/>
          <w:szCs w:val="24"/>
          <w:lang w:eastAsia="bg-BG"/>
        </w:rPr>
      </w:pPr>
      <w:r w:rsidRPr="00AE5CD3">
        <w:rPr>
          <w:rFonts w:asciiTheme="majorHAnsi" w:eastAsia="Times New Roman" w:hAnsiTheme="majorHAnsi"/>
          <w:i/>
          <w:sz w:val="24"/>
          <w:szCs w:val="24"/>
          <w:lang w:eastAsia="bg-BG"/>
        </w:rPr>
        <w:t>•</w:t>
      </w:r>
      <w:r w:rsidRPr="00AE5CD3">
        <w:rPr>
          <w:rFonts w:asciiTheme="majorHAnsi" w:eastAsia="Times New Roman" w:hAnsiTheme="majorHAnsi"/>
          <w:i/>
          <w:sz w:val="24"/>
          <w:szCs w:val="24"/>
          <w:lang w:eastAsia="bg-BG"/>
        </w:rPr>
        <w:tab/>
      </w:r>
      <w:r w:rsidR="00FB3900" w:rsidRPr="00AE5CD3">
        <w:rPr>
          <w:rFonts w:asciiTheme="majorHAnsi" w:eastAsia="Times New Roman" w:hAnsiTheme="majorHAnsi"/>
          <w:i/>
          <w:sz w:val="24"/>
          <w:szCs w:val="24"/>
          <w:lang w:eastAsia="bg-BG"/>
        </w:rPr>
        <w:t xml:space="preserve">реализирана </w:t>
      </w:r>
      <w:r w:rsidRPr="00AE5CD3">
        <w:rPr>
          <w:rFonts w:asciiTheme="majorHAnsi" w:eastAsia="Times New Roman" w:hAnsiTheme="majorHAnsi"/>
          <w:i/>
          <w:sz w:val="24"/>
          <w:szCs w:val="24"/>
          <w:lang w:eastAsia="bg-BG"/>
        </w:rPr>
        <w:t xml:space="preserve">подкрепа за специализирани услуги </w:t>
      </w:r>
      <w:r w:rsidR="00FB3900" w:rsidRPr="00AE5CD3">
        <w:rPr>
          <w:rFonts w:asciiTheme="majorHAnsi" w:eastAsia="Times New Roman" w:hAnsiTheme="majorHAnsi"/>
          <w:i/>
          <w:sz w:val="24"/>
          <w:szCs w:val="24"/>
          <w:lang w:eastAsia="bg-BG"/>
        </w:rPr>
        <w:t xml:space="preserve">на </w:t>
      </w:r>
      <w:r w:rsidRPr="00AE5CD3">
        <w:rPr>
          <w:rFonts w:asciiTheme="majorHAnsi" w:eastAsia="Times New Roman" w:hAnsiTheme="majorHAnsi"/>
          <w:i/>
          <w:sz w:val="24"/>
          <w:szCs w:val="24"/>
          <w:lang w:eastAsia="bg-BG"/>
        </w:rPr>
        <w:t xml:space="preserve"> МСП за развитие и укрепване на управленския капацитет;</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eastAsia="Times New Roman" w:hAnsiTheme="majorHAnsi"/>
          <w:sz w:val="24"/>
          <w:szCs w:val="24"/>
          <w:lang w:eastAsia="bg-BG"/>
        </w:rPr>
      </w:pPr>
      <w:r w:rsidRPr="00AE5CD3">
        <w:rPr>
          <w:rFonts w:asciiTheme="majorHAnsi" w:eastAsia="Times New Roman" w:hAnsiTheme="majorHAnsi"/>
          <w:sz w:val="24"/>
          <w:szCs w:val="24"/>
          <w:lang w:eastAsia="bg-BG"/>
        </w:rPr>
        <w:t>В резултат на подкрепените дейности се очаква подобряване на капацитета на МСП на териториите на МИГ за работа в интензивно конкурентни пазари, с повишаване на конкурентоспособността и респективно на устойчивото им присъствие на външни пазари.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eastAsia="Times New Roman" w:hAnsiTheme="majorHAnsi"/>
          <w:i/>
          <w:sz w:val="24"/>
          <w:szCs w:val="24"/>
          <w:lang w:eastAsia="bg-BG"/>
        </w:rPr>
      </w:pPr>
      <w:r w:rsidRPr="00AE5CD3">
        <w:rPr>
          <w:rFonts w:asciiTheme="majorHAnsi" w:eastAsia="Times New Roman" w:hAnsiTheme="majorHAnsi"/>
          <w:i/>
          <w:sz w:val="24"/>
          <w:szCs w:val="24"/>
          <w:lang w:eastAsia="bg-BG"/>
        </w:rPr>
        <w:t>•</w:t>
      </w:r>
      <w:r w:rsidRPr="00AE5CD3">
        <w:rPr>
          <w:rFonts w:asciiTheme="majorHAnsi" w:eastAsia="Times New Roman" w:hAnsiTheme="majorHAnsi"/>
          <w:i/>
          <w:sz w:val="24"/>
          <w:szCs w:val="24"/>
          <w:lang w:eastAsia="bg-BG"/>
        </w:rPr>
        <w:tab/>
      </w:r>
      <w:r w:rsidR="00FB3900" w:rsidRPr="00AE5CD3">
        <w:rPr>
          <w:rFonts w:asciiTheme="majorHAnsi" w:eastAsia="Times New Roman" w:hAnsiTheme="majorHAnsi"/>
          <w:i/>
          <w:sz w:val="24"/>
          <w:szCs w:val="24"/>
          <w:lang w:eastAsia="bg-BG"/>
        </w:rPr>
        <w:t xml:space="preserve">осъществена </w:t>
      </w:r>
      <w:r w:rsidRPr="00AE5CD3">
        <w:rPr>
          <w:rFonts w:asciiTheme="majorHAnsi" w:eastAsia="Times New Roman" w:hAnsiTheme="majorHAnsi"/>
          <w:i/>
          <w:sz w:val="24"/>
          <w:szCs w:val="24"/>
          <w:lang w:eastAsia="bg-BG"/>
        </w:rPr>
        <w:t>подкрепа за растеж на предприятия чрез подобряване на качеството и насърчаване на използването на ИКТ и услуги;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firstLine="284"/>
        <w:jc w:val="both"/>
        <w:rPr>
          <w:rFonts w:asciiTheme="majorHAnsi" w:hAnsiTheme="majorHAnsi"/>
          <w:b/>
          <w:color w:val="000000"/>
          <w:sz w:val="24"/>
          <w:szCs w:val="24"/>
        </w:rPr>
      </w:pPr>
      <w:r w:rsidRPr="00AE5CD3">
        <w:rPr>
          <w:rFonts w:asciiTheme="majorHAnsi" w:eastAsia="Times New Roman" w:hAnsiTheme="majorHAnsi"/>
          <w:sz w:val="24"/>
          <w:szCs w:val="24"/>
          <w:lang w:eastAsia="bg-BG"/>
        </w:rPr>
        <w:t>В резултат на подкрепените дейности се очаква подобряване на капацитета на МСП на териториите на МИГ за правене на конкурентен и устойчив на динамично развиващите се пазари бизнес, както и за осигуряване на по-бърз и по-лесен достъп до чужди пазари чрез повишаване и подобряване на използването на ИКТ и услуги, и оптимизиране на процесите за управление на бизнеса.</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firstLine="284"/>
        <w:jc w:val="both"/>
        <w:rPr>
          <w:rFonts w:asciiTheme="majorHAnsi" w:hAnsiTheme="majorHAnsi"/>
          <w:sz w:val="24"/>
          <w:szCs w:val="24"/>
        </w:rPr>
      </w:pPr>
      <w:r w:rsidRPr="00AE5CD3">
        <w:rPr>
          <w:rFonts w:asciiTheme="majorHAnsi" w:hAnsiTheme="majorHAnsi"/>
          <w:color w:val="000000"/>
          <w:sz w:val="24"/>
          <w:szCs w:val="24"/>
        </w:rPr>
        <w:t>Като краен резултат ще се подобри стопанския климат и устойчивостта на предприятията, а от там</w:t>
      </w:r>
      <w:r w:rsidR="00AE5CD3">
        <w:rPr>
          <w:rFonts w:asciiTheme="majorHAnsi" w:hAnsiTheme="majorHAnsi"/>
          <w:color w:val="000000"/>
          <w:sz w:val="24"/>
          <w:szCs w:val="24"/>
        </w:rPr>
        <w:t>-</w:t>
      </w:r>
      <w:r w:rsidRPr="00AE5CD3">
        <w:rPr>
          <w:rFonts w:asciiTheme="majorHAnsi" w:hAnsiTheme="majorHAnsi"/>
          <w:color w:val="000000"/>
          <w:sz w:val="24"/>
          <w:szCs w:val="24"/>
        </w:rPr>
        <w:t xml:space="preserve">повишаване на заетостта и доходите на населението в регион, в който демографските и социални проблеми са особено изострени. </w:t>
      </w:r>
    </w:p>
    <w:p w:rsidR="005A1B22" w:rsidRPr="00AE5CD3" w:rsidRDefault="005A1B22" w:rsidP="008119B6">
      <w:pPr>
        <w:pStyle w:val="20"/>
        <w:spacing w:before="0" w:line="240" w:lineRule="auto"/>
        <w:ind w:firstLine="284"/>
        <w:rPr>
          <w:rFonts w:asciiTheme="majorHAnsi" w:hAnsiTheme="majorHAnsi"/>
        </w:rPr>
      </w:pPr>
      <w:bookmarkStart w:id="24" w:name="_Toc476823138"/>
    </w:p>
    <w:p w:rsidR="005A1B22" w:rsidRPr="00AE5CD3" w:rsidRDefault="005A1B22" w:rsidP="008119B6">
      <w:pPr>
        <w:pStyle w:val="20"/>
        <w:spacing w:before="0" w:line="240" w:lineRule="auto"/>
        <w:rPr>
          <w:rFonts w:asciiTheme="majorHAnsi" w:hAnsiTheme="majorHAnsi"/>
        </w:rPr>
      </w:pPr>
      <w:bookmarkStart w:id="25" w:name="_Toc514333695"/>
      <w:bookmarkStart w:id="26" w:name="_Toc514334535"/>
      <w:bookmarkStart w:id="27" w:name="_Toc514334627"/>
      <w:r w:rsidRPr="00AE5CD3">
        <w:rPr>
          <w:rFonts w:asciiTheme="majorHAnsi" w:hAnsiTheme="majorHAnsi"/>
        </w:rPr>
        <w:t>7. Индикатори</w:t>
      </w:r>
      <w:bookmarkEnd w:id="24"/>
      <w:bookmarkEnd w:id="25"/>
      <w:bookmarkEnd w:id="26"/>
      <w:bookmarkEnd w:id="27"/>
    </w:p>
    <w:p w:rsidR="005A1B22" w:rsidRPr="00AE5CD3" w:rsidRDefault="005A1B22" w:rsidP="008119B6">
      <w:pPr>
        <w:pStyle w:val="30"/>
        <w:spacing w:before="0" w:line="240" w:lineRule="auto"/>
        <w:rPr>
          <w:rFonts w:asciiTheme="majorHAnsi" w:hAnsiTheme="majorHAnsi"/>
          <w:sz w:val="26"/>
          <w:szCs w:val="26"/>
        </w:rPr>
      </w:pPr>
      <w:bookmarkStart w:id="28" w:name="_Toc514333696"/>
      <w:bookmarkStart w:id="29" w:name="_Toc514334536"/>
      <w:bookmarkStart w:id="30" w:name="_Toc514334628"/>
      <w:r w:rsidRPr="00AE5CD3">
        <w:rPr>
          <w:rFonts w:asciiTheme="majorHAnsi" w:hAnsiTheme="majorHAnsi"/>
          <w:sz w:val="26"/>
          <w:szCs w:val="26"/>
        </w:rPr>
        <w:t>7.1. Индикатори за резултат и изпълнение съгласно оперативната програма</w:t>
      </w:r>
      <w:bookmarkEnd w:id="28"/>
      <w:bookmarkEnd w:id="29"/>
      <w:bookmarkEnd w:id="30"/>
    </w:p>
    <w:p w:rsidR="00EB246D" w:rsidRPr="00AE5CD3" w:rsidRDefault="005A1B22" w:rsidP="008119B6">
      <w:pPr>
        <w:pBdr>
          <w:top w:val="single" w:sz="4" w:space="14" w:color="auto"/>
          <w:left w:val="single" w:sz="4" w:space="4" w:color="auto"/>
          <w:bottom w:val="single" w:sz="4" w:space="1" w:color="auto"/>
          <w:right w:val="single" w:sz="4" w:space="4" w:color="auto"/>
        </w:pBdr>
        <w:spacing w:after="0" w:line="240" w:lineRule="auto"/>
        <w:ind w:firstLine="284"/>
        <w:contextualSpacing/>
        <w:jc w:val="both"/>
        <w:rPr>
          <w:rFonts w:asciiTheme="majorHAnsi" w:hAnsiTheme="majorHAnsi"/>
          <w:sz w:val="24"/>
          <w:szCs w:val="24"/>
        </w:rPr>
      </w:pPr>
      <w:bookmarkStart w:id="31" w:name="_Toc437444283"/>
      <w:bookmarkStart w:id="32" w:name="_Toc476823140"/>
      <w:r w:rsidRPr="00AE5CD3">
        <w:rPr>
          <w:rFonts w:asciiTheme="majorHAnsi" w:hAnsiTheme="majorHAnsi"/>
          <w:sz w:val="24"/>
          <w:szCs w:val="24"/>
        </w:rPr>
        <w:t xml:space="preserve">В съответствие със специфичната цел на Инвестиционен приоритет 2.2 „Капацитет за растеж на МСП“от Оперативна програма „Иновации и конкурентоспособност“ 2014-2020, проектните предложения по настоящата процедура следва </w:t>
      </w:r>
      <w:r w:rsidRPr="00113C90">
        <w:rPr>
          <w:rFonts w:asciiTheme="majorHAnsi" w:hAnsiTheme="majorHAnsi"/>
          <w:b/>
          <w:sz w:val="24"/>
          <w:szCs w:val="24"/>
        </w:rPr>
        <w:t>задължително</w:t>
      </w:r>
      <w:r w:rsidRPr="00AE5CD3">
        <w:rPr>
          <w:rFonts w:asciiTheme="majorHAnsi" w:hAnsiTheme="majorHAnsi"/>
          <w:sz w:val="24"/>
          <w:szCs w:val="24"/>
        </w:rPr>
        <w:t xml:space="preserve"> да имат принос към постигането </w:t>
      </w:r>
      <w:r w:rsidRPr="00113C90">
        <w:rPr>
          <w:rFonts w:asciiTheme="majorHAnsi" w:hAnsiTheme="majorHAnsi"/>
          <w:sz w:val="24"/>
          <w:szCs w:val="24"/>
          <w:u w:val="single"/>
        </w:rPr>
        <w:t>на</w:t>
      </w:r>
      <w:r w:rsidR="00113C90" w:rsidRPr="00113C90">
        <w:rPr>
          <w:rFonts w:asciiTheme="majorHAnsi" w:hAnsiTheme="majorHAnsi"/>
          <w:sz w:val="24"/>
          <w:szCs w:val="24"/>
          <w:u w:val="single"/>
        </w:rPr>
        <w:t xml:space="preserve"> поне един</w:t>
      </w:r>
      <w:r w:rsidR="00113C90">
        <w:rPr>
          <w:rFonts w:asciiTheme="majorHAnsi" w:hAnsiTheme="majorHAnsi"/>
          <w:sz w:val="24"/>
          <w:szCs w:val="24"/>
        </w:rPr>
        <w:t xml:space="preserve"> от  посочените </w:t>
      </w:r>
      <w:r w:rsidRPr="00AE5CD3">
        <w:rPr>
          <w:rFonts w:asciiTheme="majorHAnsi" w:hAnsiTheme="majorHAnsi"/>
          <w:sz w:val="24"/>
          <w:szCs w:val="24"/>
        </w:rPr>
        <w:t>индикатори</w:t>
      </w:r>
      <w:r w:rsidR="00113C90">
        <w:rPr>
          <w:rFonts w:asciiTheme="majorHAnsi" w:hAnsiTheme="majorHAnsi"/>
          <w:sz w:val="24"/>
          <w:szCs w:val="24"/>
        </w:rPr>
        <w:t xml:space="preserve"> за резултат</w:t>
      </w:r>
      <w:r w:rsidRPr="00AE5CD3">
        <w:rPr>
          <w:rFonts w:asciiTheme="majorHAnsi" w:hAnsiTheme="majorHAnsi"/>
          <w:sz w:val="24"/>
          <w:szCs w:val="24"/>
        </w:rPr>
        <w:t>:</w:t>
      </w:r>
    </w:p>
    <w:p w:rsidR="00EB246D" w:rsidRPr="00AE5CD3" w:rsidRDefault="00EB246D" w:rsidP="008119B6">
      <w:pPr>
        <w:pBdr>
          <w:top w:val="single" w:sz="4" w:space="14" w:color="auto"/>
          <w:left w:val="single" w:sz="4" w:space="4" w:color="auto"/>
          <w:bottom w:val="single" w:sz="4" w:space="1" w:color="auto"/>
          <w:right w:val="single" w:sz="4" w:space="4" w:color="auto"/>
        </w:pBdr>
        <w:spacing w:after="0" w:line="240" w:lineRule="auto"/>
        <w:ind w:firstLine="284"/>
        <w:contextualSpacing/>
        <w:jc w:val="both"/>
        <w:rPr>
          <w:rFonts w:asciiTheme="majorHAnsi" w:hAnsiTheme="majorHAnsi"/>
          <w:sz w:val="24"/>
          <w:szCs w:val="24"/>
        </w:rPr>
      </w:pPr>
    </w:p>
    <w:p w:rsidR="005A1B22" w:rsidRPr="00AE5CD3" w:rsidRDefault="00EB246D" w:rsidP="008119B6">
      <w:pPr>
        <w:pBdr>
          <w:top w:val="single" w:sz="4" w:space="14" w:color="auto"/>
          <w:left w:val="single" w:sz="4" w:space="4" w:color="auto"/>
          <w:bottom w:val="single" w:sz="4" w:space="1" w:color="auto"/>
          <w:right w:val="single" w:sz="4" w:space="4" w:color="auto"/>
        </w:pBdr>
        <w:spacing w:after="0" w:line="240" w:lineRule="auto"/>
        <w:ind w:firstLine="284"/>
        <w:contextualSpacing/>
        <w:jc w:val="both"/>
        <w:rPr>
          <w:rFonts w:asciiTheme="majorHAnsi" w:hAnsiTheme="majorHAnsi"/>
          <w:b/>
          <w:sz w:val="24"/>
          <w:szCs w:val="24"/>
        </w:rPr>
      </w:pPr>
      <w:r w:rsidRPr="00AE5CD3">
        <w:rPr>
          <w:rFonts w:asciiTheme="majorHAnsi" w:hAnsiTheme="majorHAnsi"/>
          <w:b/>
          <w:sz w:val="24"/>
          <w:szCs w:val="24"/>
        </w:rPr>
        <w:t>Индикатори за резултат:</w:t>
      </w:r>
    </w:p>
    <w:p w:rsidR="005A1B22" w:rsidRPr="00AE5CD3" w:rsidRDefault="005A1B22" w:rsidP="008119B6">
      <w:pPr>
        <w:pBdr>
          <w:top w:val="single" w:sz="4" w:space="14" w:color="auto"/>
          <w:left w:val="single" w:sz="4" w:space="4" w:color="auto"/>
          <w:bottom w:val="single" w:sz="4" w:space="1" w:color="auto"/>
          <w:right w:val="single" w:sz="4" w:space="4" w:color="auto"/>
        </w:pBdr>
        <w:spacing w:before="120" w:after="120" w:line="240" w:lineRule="auto"/>
        <w:ind w:firstLine="284"/>
        <w:contextualSpacing/>
        <w:jc w:val="both"/>
        <w:rPr>
          <w:rFonts w:asciiTheme="majorHAnsi" w:hAnsiTheme="majorHAnsi"/>
          <w:sz w:val="24"/>
          <w:szCs w:val="24"/>
        </w:rPr>
      </w:pPr>
      <w:r w:rsidRPr="00AE5CD3">
        <w:rPr>
          <w:rFonts w:asciiTheme="majorHAnsi" w:hAnsiTheme="majorHAnsi"/>
          <w:sz w:val="24"/>
          <w:szCs w:val="24"/>
        </w:rPr>
        <w:t xml:space="preserve"> - Обем на износа на с</w:t>
      </w:r>
      <w:r w:rsidR="00B16D63" w:rsidRPr="00AE5CD3">
        <w:rPr>
          <w:rFonts w:asciiTheme="majorHAnsi" w:hAnsiTheme="majorHAnsi"/>
          <w:sz w:val="24"/>
          <w:szCs w:val="24"/>
        </w:rPr>
        <w:t>токи и услуги, реализиран от МСП;</w:t>
      </w:r>
    </w:p>
    <w:p w:rsidR="005A1B22" w:rsidRPr="00AE5CD3" w:rsidRDefault="00B16D63" w:rsidP="008119B6">
      <w:pPr>
        <w:pBdr>
          <w:top w:val="single" w:sz="4" w:space="14" w:color="auto"/>
          <w:left w:val="single" w:sz="4" w:space="4" w:color="auto"/>
          <w:bottom w:val="single" w:sz="4" w:space="1" w:color="auto"/>
          <w:right w:val="single" w:sz="4" w:space="4" w:color="auto"/>
        </w:pBdr>
        <w:spacing w:before="120" w:after="120" w:line="240" w:lineRule="auto"/>
        <w:ind w:firstLine="284"/>
        <w:contextualSpacing/>
        <w:jc w:val="both"/>
        <w:rPr>
          <w:rFonts w:asciiTheme="majorHAnsi" w:hAnsiTheme="majorHAnsi"/>
          <w:sz w:val="24"/>
          <w:szCs w:val="24"/>
        </w:rPr>
      </w:pPr>
      <w:r w:rsidRPr="00AE5CD3">
        <w:rPr>
          <w:rFonts w:asciiTheme="majorHAnsi" w:hAnsiTheme="majorHAnsi"/>
          <w:sz w:val="24"/>
          <w:szCs w:val="24"/>
        </w:rPr>
        <w:t xml:space="preserve"> - Производителност на МСП;</w:t>
      </w:r>
    </w:p>
    <w:p w:rsidR="00EB246D" w:rsidRPr="00AE5CD3" w:rsidRDefault="005A1B22" w:rsidP="008119B6">
      <w:pPr>
        <w:pBdr>
          <w:top w:val="single" w:sz="4" w:space="14" w:color="auto"/>
          <w:left w:val="single" w:sz="4" w:space="4" w:color="auto"/>
          <w:bottom w:val="single" w:sz="4" w:space="1" w:color="auto"/>
          <w:right w:val="single" w:sz="4" w:space="4" w:color="auto"/>
        </w:pBdr>
        <w:spacing w:before="120" w:after="120" w:line="240" w:lineRule="auto"/>
        <w:ind w:firstLine="284"/>
        <w:contextualSpacing/>
        <w:jc w:val="both"/>
        <w:rPr>
          <w:rFonts w:asciiTheme="majorHAnsi" w:hAnsiTheme="majorHAnsi"/>
          <w:sz w:val="24"/>
          <w:szCs w:val="24"/>
        </w:rPr>
      </w:pPr>
      <w:r w:rsidRPr="00AE5CD3">
        <w:rPr>
          <w:rFonts w:asciiTheme="majorHAnsi" w:hAnsiTheme="majorHAnsi"/>
          <w:sz w:val="24"/>
          <w:szCs w:val="24"/>
        </w:rPr>
        <w:t xml:space="preserve">Информацията за постигане на индикаторите за резултат ще бъде предоставяна служебно от НСИ. При сключване на договор за предоставяне на безвъзмездна финансова помощ бенефициентът следва да попълни Декларация по образец за </w:t>
      </w:r>
      <w:r w:rsidRPr="00AE5CD3">
        <w:rPr>
          <w:rFonts w:asciiTheme="majorHAnsi" w:hAnsiTheme="majorHAnsi"/>
          <w:sz w:val="24"/>
          <w:szCs w:val="24"/>
        </w:rPr>
        <w:lastRenderedPageBreak/>
        <w:t xml:space="preserve">съгласие за ползване на данни на предприятието за целите на отчитането по Оперативната програма. </w:t>
      </w:r>
    </w:p>
    <w:p w:rsidR="00EB246D" w:rsidRPr="00AE5CD3" w:rsidRDefault="00EB246D" w:rsidP="008119B6">
      <w:pPr>
        <w:pBdr>
          <w:top w:val="single" w:sz="4" w:space="14" w:color="auto"/>
          <w:left w:val="single" w:sz="4" w:space="4" w:color="auto"/>
          <w:bottom w:val="single" w:sz="4" w:space="1" w:color="auto"/>
          <w:right w:val="single" w:sz="4" w:space="4" w:color="auto"/>
        </w:pBdr>
        <w:spacing w:before="120" w:after="120" w:line="240" w:lineRule="auto"/>
        <w:ind w:firstLine="284"/>
        <w:contextualSpacing/>
        <w:jc w:val="both"/>
        <w:rPr>
          <w:rFonts w:asciiTheme="majorHAnsi" w:hAnsiTheme="majorHAnsi"/>
          <w:sz w:val="24"/>
          <w:szCs w:val="24"/>
        </w:rPr>
      </w:pPr>
    </w:p>
    <w:p w:rsidR="00EB246D" w:rsidRPr="00AE5CD3" w:rsidRDefault="00EB246D" w:rsidP="008119B6">
      <w:pPr>
        <w:pBdr>
          <w:top w:val="single" w:sz="4" w:space="14" w:color="auto"/>
          <w:left w:val="single" w:sz="4" w:space="4" w:color="auto"/>
          <w:bottom w:val="single" w:sz="4" w:space="1" w:color="auto"/>
          <w:right w:val="single" w:sz="4" w:space="4" w:color="auto"/>
        </w:pBdr>
        <w:spacing w:before="120" w:after="120" w:line="240" w:lineRule="auto"/>
        <w:ind w:firstLine="284"/>
        <w:contextualSpacing/>
        <w:jc w:val="both"/>
        <w:rPr>
          <w:rFonts w:asciiTheme="majorHAnsi" w:hAnsiTheme="majorHAnsi"/>
          <w:b/>
          <w:sz w:val="24"/>
          <w:szCs w:val="24"/>
        </w:rPr>
      </w:pPr>
      <w:r w:rsidRPr="00AE5CD3">
        <w:rPr>
          <w:rFonts w:asciiTheme="majorHAnsi" w:hAnsiTheme="majorHAnsi"/>
          <w:b/>
          <w:sz w:val="24"/>
          <w:szCs w:val="24"/>
        </w:rPr>
        <w:t>Индикатори за изпълнение</w:t>
      </w:r>
    </w:p>
    <w:p w:rsidR="005A1B22" w:rsidRPr="00AE5CD3" w:rsidRDefault="005A1B22" w:rsidP="008119B6">
      <w:pPr>
        <w:pBdr>
          <w:top w:val="single" w:sz="4" w:space="14" w:color="auto"/>
          <w:left w:val="single" w:sz="4" w:space="4" w:color="auto"/>
          <w:bottom w:val="single" w:sz="4" w:space="1" w:color="auto"/>
          <w:right w:val="single" w:sz="4" w:space="4" w:color="auto"/>
        </w:pBdr>
        <w:spacing w:before="120" w:after="120" w:line="240" w:lineRule="auto"/>
        <w:ind w:firstLine="284"/>
        <w:contextualSpacing/>
        <w:jc w:val="both"/>
        <w:rPr>
          <w:rFonts w:asciiTheme="majorHAnsi" w:hAnsiTheme="majorHAnsi"/>
          <w:sz w:val="24"/>
          <w:szCs w:val="24"/>
        </w:rPr>
      </w:pPr>
      <w:r w:rsidRPr="00AE5CD3">
        <w:rPr>
          <w:rFonts w:asciiTheme="majorHAnsi" w:hAnsiTheme="majorHAnsi"/>
          <w:sz w:val="24"/>
          <w:szCs w:val="24"/>
        </w:rPr>
        <w:t xml:space="preserve">УО на ОПИК ще следи за изпълнението и отчитането на следните индикатори за изпълнение: </w:t>
      </w:r>
    </w:p>
    <w:p w:rsidR="005A1B22" w:rsidRPr="00AE5CD3" w:rsidRDefault="005A1B22" w:rsidP="008119B6">
      <w:pPr>
        <w:pBdr>
          <w:top w:val="single" w:sz="4" w:space="14" w:color="auto"/>
          <w:left w:val="single" w:sz="4" w:space="4" w:color="auto"/>
          <w:bottom w:val="single" w:sz="4" w:space="1" w:color="auto"/>
          <w:right w:val="single" w:sz="4" w:space="4" w:color="auto"/>
        </w:pBdr>
        <w:spacing w:before="120" w:after="120" w:line="240" w:lineRule="auto"/>
        <w:ind w:firstLine="284"/>
        <w:contextualSpacing/>
        <w:jc w:val="both"/>
        <w:rPr>
          <w:rFonts w:asciiTheme="majorHAnsi" w:hAnsiTheme="majorHAnsi"/>
          <w:sz w:val="24"/>
          <w:szCs w:val="24"/>
        </w:rPr>
      </w:pPr>
      <w:r w:rsidRPr="00AE5CD3">
        <w:rPr>
          <w:rFonts w:asciiTheme="majorHAnsi" w:hAnsiTheme="majorHAnsi"/>
          <w:sz w:val="24"/>
          <w:szCs w:val="24"/>
        </w:rPr>
        <w:t xml:space="preserve"> 1. Брой на предприятията, получаващи подкрепа;</w:t>
      </w:r>
    </w:p>
    <w:p w:rsidR="005A1B22" w:rsidRPr="00AE5CD3" w:rsidRDefault="005A1B22" w:rsidP="008119B6">
      <w:pPr>
        <w:pBdr>
          <w:top w:val="single" w:sz="4" w:space="14" w:color="auto"/>
          <w:left w:val="single" w:sz="4" w:space="4" w:color="auto"/>
          <w:bottom w:val="single" w:sz="4" w:space="1" w:color="auto"/>
          <w:right w:val="single" w:sz="4" w:space="4" w:color="auto"/>
        </w:pBdr>
        <w:spacing w:before="120" w:after="120" w:line="240" w:lineRule="auto"/>
        <w:ind w:firstLine="284"/>
        <w:contextualSpacing/>
        <w:jc w:val="both"/>
        <w:rPr>
          <w:rFonts w:asciiTheme="majorHAnsi" w:hAnsiTheme="majorHAnsi"/>
          <w:sz w:val="24"/>
          <w:szCs w:val="24"/>
        </w:rPr>
      </w:pPr>
      <w:r w:rsidRPr="00AE5CD3">
        <w:rPr>
          <w:rFonts w:asciiTheme="majorHAnsi" w:hAnsiTheme="majorHAnsi"/>
          <w:sz w:val="24"/>
          <w:szCs w:val="24"/>
        </w:rPr>
        <w:t xml:space="preserve"> 2. Брой на предприятията, получаващи безвъзмездни средства;</w:t>
      </w:r>
    </w:p>
    <w:p w:rsidR="005A1B22" w:rsidRPr="00AE5CD3" w:rsidRDefault="005A1B22" w:rsidP="008119B6">
      <w:pPr>
        <w:pBdr>
          <w:top w:val="single" w:sz="4" w:space="14" w:color="auto"/>
          <w:left w:val="single" w:sz="4" w:space="4" w:color="auto"/>
          <w:bottom w:val="single" w:sz="4" w:space="1" w:color="auto"/>
          <w:right w:val="single" w:sz="4" w:space="4" w:color="auto"/>
        </w:pBdr>
        <w:spacing w:before="120" w:after="120" w:line="240" w:lineRule="auto"/>
        <w:ind w:firstLine="284"/>
        <w:contextualSpacing/>
        <w:jc w:val="both"/>
        <w:rPr>
          <w:rFonts w:asciiTheme="majorHAnsi" w:hAnsiTheme="majorHAnsi"/>
          <w:sz w:val="24"/>
          <w:szCs w:val="24"/>
        </w:rPr>
      </w:pPr>
      <w:r w:rsidRPr="00AE5CD3">
        <w:rPr>
          <w:rFonts w:asciiTheme="majorHAnsi" w:hAnsiTheme="majorHAnsi"/>
          <w:sz w:val="24"/>
          <w:szCs w:val="24"/>
        </w:rPr>
        <w:t xml:space="preserve"> 3.Частни инвестиции, допълващи публичната подкрепа за предприятията (безвъзмездни средства).</w:t>
      </w:r>
    </w:p>
    <w:p w:rsidR="005A1B22" w:rsidRPr="00AE5CD3" w:rsidRDefault="005A1B22" w:rsidP="008119B6">
      <w:pPr>
        <w:pBdr>
          <w:top w:val="single" w:sz="4" w:space="14" w:color="auto"/>
          <w:left w:val="single" w:sz="4" w:space="4" w:color="auto"/>
          <w:bottom w:val="single" w:sz="4" w:space="1" w:color="auto"/>
          <w:right w:val="single" w:sz="4" w:space="4" w:color="auto"/>
        </w:pBdr>
        <w:spacing w:before="120" w:after="120" w:line="240" w:lineRule="auto"/>
        <w:ind w:firstLine="284"/>
        <w:contextualSpacing/>
        <w:jc w:val="both"/>
        <w:rPr>
          <w:rFonts w:asciiTheme="majorHAnsi" w:hAnsiTheme="majorHAnsi"/>
          <w:sz w:val="24"/>
          <w:szCs w:val="24"/>
        </w:rPr>
      </w:pPr>
      <w:r w:rsidRPr="00AE5CD3">
        <w:rPr>
          <w:rFonts w:asciiTheme="majorHAnsi" w:hAnsiTheme="majorHAnsi"/>
          <w:sz w:val="24"/>
          <w:szCs w:val="24"/>
        </w:rPr>
        <w:t xml:space="preserve">Кандидатите </w:t>
      </w:r>
      <w:r w:rsidRPr="00AE5CD3">
        <w:rPr>
          <w:rFonts w:asciiTheme="majorHAnsi" w:hAnsiTheme="majorHAnsi"/>
          <w:b/>
          <w:sz w:val="24"/>
          <w:szCs w:val="24"/>
        </w:rPr>
        <w:t>не</w:t>
      </w:r>
      <w:r w:rsidR="00025E18" w:rsidRPr="00025E18">
        <w:rPr>
          <w:rFonts w:asciiTheme="majorHAnsi" w:hAnsiTheme="majorHAnsi"/>
          <w:b/>
          <w:sz w:val="24"/>
          <w:szCs w:val="24"/>
          <w:lang w:val="ru-RU"/>
        </w:rPr>
        <w:t xml:space="preserve"> </w:t>
      </w:r>
      <w:r w:rsidRPr="00AE5CD3">
        <w:rPr>
          <w:rFonts w:asciiTheme="majorHAnsi" w:hAnsiTheme="majorHAnsi"/>
          <w:b/>
          <w:sz w:val="24"/>
          <w:szCs w:val="24"/>
        </w:rPr>
        <w:t>предоставят</w:t>
      </w:r>
      <w:r w:rsidRPr="00AE5CD3">
        <w:rPr>
          <w:rFonts w:asciiTheme="majorHAnsi" w:hAnsiTheme="majorHAnsi"/>
          <w:sz w:val="24"/>
          <w:szCs w:val="24"/>
        </w:rPr>
        <w:t xml:space="preserve"> информация за индикаторите за изпълнение</w:t>
      </w:r>
      <w:r w:rsidR="00B16D63" w:rsidRPr="00AE5CD3">
        <w:rPr>
          <w:rFonts w:asciiTheme="majorHAnsi" w:hAnsiTheme="majorHAnsi"/>
          <w:sz w:val="24"/>
          <w:szCs w:val="24"/>
        </w:rPr>
        <w:t xml:space="preserve"> „Брой на предприятията, получаващи подкрепа“(№1) и </w:t>
      </w:r>
      <w:r w:rsidRPr="00AE5CD3">
        <w:rPr>
          <w:rFonts w:asciiTheme="majorHAnsi" w:hAnsiTheme="majorHAnsi"/>
          <w:sz w:val="24"/>
          <w:szCs w:val="24"/>
        </w:rPr>
        <w:t xml:space="preserve"> „Частни инвестиции, допълващи публичната подкрепа за предприятието“</w:t>
      </w:r>
      <w:r w:rsidR="00B16D63" w:rsidRPr="00AE5CD3">
        <w:rPr>
          <w:rFonts w:asciiTheme="majorHAnsi" w:hAnsiTheme="majorHAnsi"/>
          <w:sz w:val="24"/>
          <w:szCs w:val="24"/>
        </w:rPr>
        <w:t xml:space="preserve"> (№</w:t>
      </w:r>
      <w:r w:rsidR="00755EC3" w:rsidRPr="00AE5CD3">
        <w:rPr>
          <w:rFonts w:asciiTheme="majorHAnsi" w:hAnsiTheme="majorHAnsi"/>
          <w:sz w:val="24"/>
          <w:szCs w:val="24"/>
        </w:rPr>
        <w:t>3</w:t>
      </w:r>
      <w:r w:rsidR="00B16D63" w:rsidRPr="00AE5CD3">
        <w:rPr>
          <w:rFonts w:asciiTheme="majorHAnsi" w:hAnsiTheme="majorHAnsi"/>
          <w:sz w:val="24"/>
          <w:szCs w:val="24"/>
        </w:rPr>
        <w:t>).</w:t>
      </w:r>
      <w:r w:rsidRPr="00AE5CD3">
        <w:rPr>
          <w:rFonts w:asciiTheme="majorHAnsi" w:hAnsiTheme="majorHAnsi"/>
          <w:sz w:val="24"/>
          <w:szCs w:val="24"/>
        </w:rPr>
        <w:t xml:space="preserve"> Посочените индикатори се отчитат служебно по програмата. </w:t>
      </w:r>
    </w:p>
    <w:p w:rsidR="00755EC3" w:rsidRPr="00AE5CD3" w:rsidRDefault="005A1B22" w:rsidP="008119B6">
      <w:pPr>
        <w:pBdr>
          <w:top w:val="single" w:sz="4" w:space="14" w:color="auto"/>
          <w:left w:val="single" w:sz="4" w:space="4" w:color="auto"/>
          <w:bottom w:val="single" w:sz="4" w:space="1" w:color="auto"/>
          <w:right w:val="single" w:sz="4" w:space="4" w:color="auto"/>
        </w:pBdr>
        <w:spacing w:before="120" w:after="120" w:line="240" w:lineRule="auto"/>
        <w:ind w:firstLine="284"/>
        <w:contextualSpacing/>
        <w:jc w:val="both"/>
        <w:rPr>
          <w:rFonts w:asciiTheme="majorHAnsi" w:hAnsiTheme="majorHAnsi"/>
          <w:sz w:val="24"/>
          <w:szCs w:val="24"/>
        </w:rPr>
      </w:pPr>
      <w:r w:rsidRPr="00AE5CD3">
        <w:rPr>
          <w:rFonts w:asciiTheme="majorHAnsi" w:hAnsiTheme="majorHAnsi"/>
          <w:sz w:val="24"/>
          <w:szCs w:val="24"/>
        </w:rPr>
        <w:t>В т. 8 от Формуляра за кандидатстване</w:t>
      </w:r>
      <w:r w:rsidR="00872C12" w:rsidRPr="00AE5CD3">
        <w:rPr>
          <w:rFonts w:asciiTheme="majorHAnsi" w:hAnsiTheme="majorHAnsi"/>
          <w:sz w:val="24"/>
          <w:szCs w:val="24"/>
        </w:rPr>
        <w:t>,</w:t>
      </w:r>
      <w:r w:rsidRPr="00AE5CD3">
        <w:rPr>
          <w:rFonts w:asciiTheme="majorHAnsi" w:hAnsiTheme="majorHAnsi"/>
          <w:sz w:val="24"/>
          <w:szCs w:val="24"/>
        </w:rPr>
        <w:t xml:space="preserve"> кандидатите следва </w:t>
      </w:r>
      <w:r w:rsidRPr="00AE5CD3">
        <w:rPr>
          <w:rFonts w:asciiTheme="majorHAnsi" w:hAnsiTheme="majorHAnsi"/>
          <w:b/>
          <w:sz w:val="24"/>
          <w:szCs w:val="24"/>
        </w:rPr>
        <w:t>да</w:t>
      </w:r>
      <w:r w:rsidR="00025E18" w:rsidRPr="00025E18">
        <w:rPr>
          <w:rFonts w:asciiTheme="majorHAnsi" w:hAnsiTheme="majorHAnsi"/>
          <w:b/>
          <w:sz w:val="24"/>
          <w:szCs w:val="24"/>
          <w:lang w:val="ru-RU"/>
        </w:rPr>
        <w:t xml:space="preserve"> </w:t>
      </w:r>
      <w:r w:rsidRPr="00AE5CD3">
        <w:rPr>
          <w:rFonts w:asciiTheme="majorHAnsi" w:hAnsiTheme="majorHAnsi"/>
          <w:b/>
          <w:sz w:val="24"/>
          <w:szCs w:val="24"/>
        </w:rPr>
        <w:t>попълнят</w:t>
      </w:r>
      <w:r w:rsidRPr="00AE5CD3">
        <w:rPr>
          <w:rFonts w:asciiTheme="majorHAnsi" w:hAnsiTheme="majorHAnsi"/>
          <w:sz w:val="24"/>
          <w:szCs w:val="24"/>
        </w:rPr>
        <w:t xml:space="preserve"> данни за базова и целева стойност </w:t>
      </w:r>
      <w:r w:rsidR="00755EC3" w:rsidRPr="00AE5CD3">
        <w:rPr>
          <w:rFonts w:asciiTheme="majorHAnsi" w:hAnsiTheme="majorHAnsi"/>
          <w:sz w:val="24"/>
          <w:szCs w:val="24"/>
        </w:rPr>
        <w:t xml:space="preserve">само за  относимия  за настоящата процедура </w:t>
      </w:r>
      <w:r w:rsidRPr="00AE5CD3">
        <w:rPr>
          <w:rFonts w:asciiTheme="majorHAnsi" w:hAnsiTheme="majorHAnsi"/>
          <w:sz w:val="24"/>
          <w:szCs w:val="24"/>
        </w:rPr>
        <w:t>индикатор за изпълнение</w:t>
      </w:r>
      <w:r w:rsidR="00A51888" w:rsidRPr="00AE5CD3">
        <w:rPr>
          <w:rFonts w:asciiTheme="majorHAnsi" w:hAnsiTheme="majorHAnsi"/>
          <w:sz w:val="24"/>
          <w:szCs w:val="24"/>
        </w:rPr>
        <w:t>:</w:t>
      </w:r>
      <w:r w:rsidR="00755EC3" w:rsidRPr="00AE5CD3">
        <w:rPr>
          <w:rFonts w:asciiTheme="majorHAnsi" w:hAnsiTheme="majorHAnsi"/>
          <w:sz w:val="24"/>
          <w:szCs w:val="24"/>
        </w:rPr>
        <w:t>(№2) "Брой на предприятията, получаващи безвъзмездни средства"</w:t>
      </w:r>
      <w:r w:rsidR="00A51888" w:rsidRPr="00AE5CD3">
        <w:rPr>
          <w:rFonts w:asciiTheme="majorHAnsi" w:hAnsiTheme="majorHAnsi"/>
          <w:sz w:val="24"/>
          <w:szCs w:val="24"/>
        </w:rPr>
        <w:t>, с ID  CO002</w:t>
      </w:r>
      <w:r w:rsidR="00755EC3" w:rsidRPr="00AE5CD3">
        <w:rPr>
          <w:rFonts w:asciiTheme="majorHAnsi" w:hAnsiTheme="majorHAnsi"/>
          <w:sz w:val="24"/>
          <w:szCs w:val="24"/>
        </w:rPr>
        <w:t>.</w:t>
      </w:r>
    </w:p>
    <w:p w:rsidR="00B16D63" w:rsidRPr="00AE5CD3" w:rsidRDefault="00A51888" w:rsidP="008119B6">
      <w:pPr>
        <w:pBdr>
          <w:top w:val="single" w:sz="4" w:space="14" w:color="auto"/>
          <w:left w:val="single" w:sz="4" w:space="4" w:color="auto"/>
          <w:bottom w:val="single" w:sz="4" w:space="1" w:color="auto"/>
          <w:right w:val="single" w:sz="4" w:space="4" w:color="auto"/>
        </w:pBdr>
        <w:spacing w:before="120" w:after="120" w:line="240" w:lineRule="auto"/>
        <w:ind w:firstLine="284"/>
        <w:contextualSpacing/>
        <w:jc w:val="both"/>
        <w:rPr>
          <w:rFonts w:asciiTheme="majorHAnsi" w:hAnsiTheme="majorHAnsi"/>
          <w:sz w:val="24"/>
          <w:szCs w:val="24"/>
        </w:rPr>
      </w:pPr>
      <w:r w:rsidRPr="00AE5CD3">
        <w:rPr>
          <w:rFonts w:asciiTheme="majorHAnsi" w:hAnsiTheme="majorHAnsi"/>
          <w:sz w:val="24"/>
          <w:szCs w:val="24"/>
        </w:rPr>
        <w:t xml:space="preserve">Допълнителна </w:t>
      </w:r>
      <w:r w:rsidR="005A1B22" w:rsidRPr="00AE5CD3">
        <w:rPr>
          <w:rFonts w:asciiTheme="majorHAnsi" w:hAnsiTheme="majorHAnsi"/>
          <w:sz w:val="24"/>
          <w:szCs w:val="24"/>
        </w:rPr>
        <w:t>информация по отчитането на индикаторите за резултат и изпълнение по ОПИК е дадена в Методологическите насоки за отчитането на индикаторите за резултат и изпълнение по ОПИК, разработени от Управляващия орган и НСИ, публикувани на следния интернет адрес:</w:t>
      </w:r>
    </w:p>
    <w:p w:rsidR="005A1B22" w:rsidRPr="00AE5CD3" w:rsidRDefault="002663C2" w:rsidP="008119B6">
      <w:pPr>
        <w:pBdr>
          <w:top w:val="single" w:sz="4" w:space="14" w:color="auto"/>
          <w:left w:val="single" w:sz="4" w:space="4" w:color="auto"/>
          <w:bottom w:val="single" w:sz="4" w:space="1" w:color="auto"/>
          <w:right w:val="single" w:sz="4" w:space="4" w:color="auto"/>
        </w:pBdr>
        <w:spacing w:before="120" w:after="120" w:line="240" w:lineRule="auto"/>
        <w:ind w:firstLine="284"/>
        <w:contextualSpacing/>
        <w:jc w:val="both"/>
        <w:rPr>
          <w:rFonts w:asciiTheme="majorHAnsi" w:hAnsiTheme="majorHAnsi"/>
          <w:sz w:val="24"/>
          <w:szCs w:val="24"/>
        </w:rPr>
      </w:pPr>
      <w:hyperlink r:id="rId15" w:history="1">
        <w:r w:rsidR="005A1B22" w:rsidRPr="00AE5CD3">
          <w:rPr>
            <w:rStyle w:val="af3"/>
            <w:rFonts w:asciiTheme="majorHAnsi" w:hAnsiTheme="majorHAnsi"/>
            <w:sz w:val="24"/>
            <w:szCs w:val="24"/>
          </w:rPr>
          <w:t>http://www.opcompetitiveness.bg/module3.php?menu_id=360</w:t>
        </w:r>
      </w:hyperlink>
    </w:p>
    <w:bookmarkEnd w:id="31"/>
    <w:bookmarkEnd w:id="32"/>
    <w:p w:rsidR="005A1B22" w:rsidRPr="00AE5CD3" w:rsidRDefault="005A1B22" w:rsidP="008119B6">
      <w:pPr>
        <w:pStyle w:val="20"/>
        <w:spacing w:before="0" w:line="240" w:lineRule="auto"/>
        <w:rPr>
          <w:rFonts w:asciiTheme="majorHAnsi" w:hAnsiTheme="majorHAnsi"/>
        </w:rPr>
      </w:pPr>
    </w:p>
    <w:p w:rsidR="005A1B22" w:rsidRPr="00AE5CD3" w:rsidRDefault="005A1B22" w:rsidP="008119B6">
      <w:pPr>
        <w:pStyle w:val="30"/>
        <w:spacing w:before="0" w:line="240" w:lineRule="auto"/>
        <w:rPr>
          <w:rFonts w:asciiTheme="majorHAnsi" w:hAnsiTheme="majorHAnsi"/>
          <w:sz w:val="26"/>
          <w:szCs w:val="26"/>
        </w:rPr>
      </w:pPr>
      <w:bookmarkStart w:id="33" w:name="_Toc514333697"/>
      <w:bookmarkStart w:id="34" w:name="_Toc514334537"/>
      <w:bookmarkStart w:id="35" w:name="_Toc514334629"/>
      <w:r w:rsidRPr="00AE5CD3">
        <w:rPr>
          <w:rFonts w:asciiTheme="majorHAnsi" w:hAnsiTheme="majorHAnsi"/>
          <w:sz w:val="26"/>
          <w:szCs w:val="26"/>
        </w:rPr>
        <w:t>7.2. Индивидуални за процедурата и проектите индикатори за изпълнение</w:t>
      </w:r>
      <w:bookmarkEnd w:id="33"/>
      <w:bookmarkEnd w:id="34"/>
      <w:bookmarkEnd w:id="35"/>
    </w:p>
    <w:p w:rsidR="005A1B22" w:rsidRPr="00AE5CD3" w:rsidRDefault="005A1B22" w:rsidP="008119B6">
      <w:pPr>
        <w:pBdr>
          <w:top w:val="single" w:sz="4" w:space="14" w:color="auto"/>
          <w:left w:val="single" w:sz="4" w:space="4" w:color="auto"/>
          <w:bottom w:val="single" w:sz="4" w:space="1" w:color="auto"/>
          <w:right w:val="single" w:sz="4" w:space="4" w:color="auto"/>
        </w:pBdr>
        <w:spacing w:after="0" w:line="240" w:lineRule="auto"/>
        <w:contextualSpacing/>
        <w:rPr>
          <w:rFonts w:asciiTheme="majorHAnsi" w:hAnsiTheme="majorHAnsi"/>
          <w:b/>
          <w:sz w:val="24"/>
          <w:szCs w:val="24"/>
        </w:rPr>
      </w:pPr>
      <w:r w:rsidRPr="00AE5CD3">
        <w:rPr>
          <w:rFonts w:asciiTheme="majorHAnsi" w:hAnsiTheme="majorHAnsi"/>
          <w:b/>
          <w:sz w:val="24"/>
          <w:szCs w:val="24"/>
        </w:rPr>
        <w:t xml:space="preserve"> Индивидуални за </w:t>
      </w:r>
      <w:r w:rsidR="00174F51" w:rsidRPr="00AE5CD3">
        <w:rPr>
          <w:rFonts w:asciiTheme="majorHAnsi" w:hAnsiTheme="majorHAnsi"/>
          <w:b/>
          <w:sz w:val="24"/>
          <w:szCs w:val="24"/>
        </w:rPr>
        <w:t xml:space="preserve">процедурата </w:t>
      </w:r>
      <w:r w:rsidRPr="00AE5CD3">
        <w:rPr>
          <w:rFonts w:asciiTheme="majorHAnsi" w:hAnsiTheme="majorHAnsi"/>
          <w:b/>
          <w:sz w:val="24"/>
          <w:szCs w:val="24"/>
        </w:rPr>
        <w:t xml:space="preserve"> индикатори</w:t>
      </w:r>
    </w:p>
    <w:p w:rsidR="005A1B22" w:rsidRPr="00AE5CD3" w:rsidRDefault="005A1B22" w:rsidP="008119B6">
      <w:pPr>
        <w:pBdr>
          <w:top w:val="single" w:sz="4" w:space="14" w:color="auto"/>
          <w:left w:val="single" w:sz="4" w:space="4" w:color="auto"/>
          <w:bottom w:val="single" w:sz="4" w:space="1" w:color="auto"/>
          <w:right w:val="single" w:sz="4" w:space="4" w:color="auto"/>
        </w:pBdr>
        <w:spacing w:after="0" w:line="240" w:lineRule="auto"/>
        <w:contextualSpacing/>
        <w:jc w:val="both"/>
        <w:rPr>
          <w:rFonts w:asciiTheme="majorHAnsi" w:hAnsiTheme="majorHAnsi"/>
          <w:sz w:val="24"/>
          <w:szCs w:val="24"/>
        </w:rPr>
      </w:pPr>
      <w:r w:rsidRPr="00AE5CD3">
        <w:rPr>
          <w:rFonts w:asciiTheme="majorHAnsi" w:hAnsiTheme="majorHAnsi"/>
          <w:sz w:val="24"/>
          <w:szCs w:val="24"/>
        </w:rPr>
        <w:t>Кандидатите предоставят информация (в случай че е приложимо) и за:</w:t>
      </w:r>
    </w:p>
    <w:p w:rsidR="005A1B22" w:rsidRPr="00AE5CD3" w:rsidRDefault="005A1B22" w:rsidP="008119B6">
      <w:pPr>
        <w:pBdr>
          <w:top w:val="single" w:sz="4" w:space="14" w:color="auto"/>
          <w:left w:val="single" w:sz="4" w:space="4" w:color="auto"/>
          <w:bottom w:val="single" w:sz="4" w:space="1" w:color="auto"/>
          <w:right w:val="single" w:sz="4" w:space="4" w:color="auto"/>
        </w:pBdr>
        <w:spacing w:after="0" w:line="240" w:lineRule="auto"/>
        <w:contextualSpacing/>
        <w:jc w:val="both"/>
        <w:rPr>
          <w:rFonts w:asciiTheme="majorHAnsi" w:hAnsiTheme="majorHAnsi"/>
          <w:sz w:val="24"/>
          <w:szCs w:val="24"/>
        </w:rPr>
      </w:pPr>
      <w:r w:rsidRPr="00AE5CD3">
        <w:rPr>
          <w:rFonts w:asciiTheme="majorHAnsi" w:hAnsiTheme="majorHAnsi"/>
          <w:sz w:val="24"/>
          <w:szCs w:val="24"/>
        </w:rPr>
        <w:t xml:space="preserve">-Намаляване на количеството отпадъци, предвидени за депониране – количества генерирани отпадъци </w:t>
      </w:r>
      <w:r w:rsidR="00F268D4" w:rsidRPr="00AE5CD3">
        <w:rPr>
          <w:rFonts w:asciiTheme="majorHAnsi" w:hAnsiTheme="majorHAnsi"/>
          <w:sz w:val="24"/>
          <w:szCs w:val="24"/>
        </w:rPr>
        <w:t xml:space="preserve">(общо и </w:t>
      </w:r>
      <w:r w:rsidRPr="00AE5CD3">
        <w:rPr>
          <w:rFonts w:asciiTheme="majorHAnsi" w:hAnsiTheme="majorHAnsi"/>
          <w:sz w:val="24"/>
          <w:szCs w:val="24"/>
        </w:rPr>
        <w:t>при производството на единица продукция</w:t>
      </w:r>
      <w:r w:rsidR="00F268D4" w:rsidRPr="00AE5CD3">
        <w:rPr>
          <w:rFonts w:asciiTheme="majorHAnsi" w:hAnsiTheme="majorHAnsi"/>
          <w:sz w:val="24"/>
          <w:szCs w:val="24"/>
        </w:rPr>
        <w:t xml:space="preserve">) </w:t>
      </w:r>
      <w:r w:rsidRPr="00AE5CD3">
        <w:rPr>
          <w:rFonts w:asciiTheme="majorHAnsi" w:hAnsiTheme="majorHAnsi"/>
          <w:sz w:val="24"/>
          <w:szCs w:val="24"/>
        </w:rPr>
        <w:t xml:space="preserve"> на годишна база, преди/след изпълнение на проекта в тонове годишно – т./год. и/или</w:t>
      </w:r>
    </w:p>
    <w:p w:rsidR="00113C90" w:rsidRPr="00113C90" w:rsidRDefault="005A1B22" w:rsidP="008119B6">
      <w:pPr>
        <w:pBdr>
          <w:top w:val="single" w:sz="4" w:space="14" w:color="auto"/>
          <w:left w:val="single" w:sz="4" w:space="4" w:color="auto"/>
          <w:bottom w:val="single" w:sz="4" w:space="1" w:color="auto"/>
          <w:right w:val="single" w:sz="4" w:space="4" w:color="auto"/>
        </w:pBdr>
        <w:spacing w:after="0" w:line="240" w:lineRule="auto"/>
        <w:contextualSpacing/>
        <w:jc w:val="both"/>
        <w:rPr>
          <w:rFonts w:asciiTheme="majorHAnsi" w:hAnsiTheme="majorHAnsi"/>
          <w:sz w:val="24"/>
          <w:szCs w:val="24"/>
        </w:rPr>
      </w:pPr>
      <w:r w:rsidRPr="00AE5CD3">
        <w:rPr>
          <w:rFonts w:asciiTheme="majorHAnsi" w:hAnsiTheme="majorHAnsi"/>
          <w:sz w:val="24"/>
          <w:szCs w:val="24"/>
        </w:rPr>
        <w:t>-</w:t>
      </w:r>
      <w:r w:rsidR="00113C90" w:rsidRPr="00113C90">
        <w:rPr>
          <w:rFonts w:asciiTheme="majorHAnsi" w:hAnsiTheme="majorHAnsi"/>
          <w:sz w:val="24"/>
          <w:szCs w:val="24"/>
        </w:rPr>
        <w:t xml:space="preserve">Намаляване на енергопотреблението на подкрепените предприятия - </w:t>
      </w:r>
      <w:r w:rsidR="00113C90" w:rsidRPr="00AE5CD3">
        <w:rPr>
          <w:rFonts w:asciiTheme="majorHAnsi" w:hAnsiTheme="majorHAnsi"/>
          <w:sz w:val="24"/>
          <w:szCs w:val="24"/>
        </w:rPr>
        <w:t>количества потребен</w:t>
      </w:r>
      <w:r w:rsidR="00113C90">
        <w:rPr>
          <w:rFonts w:asciiTheme="majorHAnsi" w:hAnsiTheme="majorHAnsi"/>
          <w:sz w:val="24"/>
          <w:szCs w:val="24"/>
        </w:rPr>
        <w:t xml:space="preserve">а енергия </w:t>
      </w:r>
      <w:r w:rsidR="00113C90" w:rsidRPr="00AE5CD3">
        <w:rPr>
          <w:rFonts w:asciiTheme="majorHAnsi" w:hAnsiTheme="majorHAnsi"/>
          <w:sz w:val="24"/>
          <w:szCs w:val="24"/>
        </w:rPr>
        <w:t>(общо и при производството на единица продукци</w:t>
      </w:r>
      <w:r w:rsidR="00113C90">
        <w:rPr>
          <w:rFonts w:asciiTheme="majorHAnsi" w:hAnsiTheme="majorHAnsi"/>
          <w:sz w:val="24"/>
          <w:szCs w:val="24"/>
        </w:rPr>
        <w:t>я)</w:t>
      </w:r>
      <w:r w:rsidR="00113C90" w:rsidRPr="00113C90">
        <w:rPr>
          <w:rFonts w:asciiTheme="majorHAnsi" w:hAnsiTheme="majorHAnsi"/>
          <w:sz w:val="24"/>
          <w:szCs w:val="24"/>
        </w:rPr>
        <w:t xml:space="preserve">; </w:t>
      </w:r>
    </w:p>
    <w:p w:rsidR="005A1B22" w:rsidRPr="00AE5CD3" w:rsidRDefault="00113C90" w:rsidP="008119B6">
      <w:pPr>
        <w:pBdr>
          <w:top w:val="single" w:sz="4" w:space="14" w:color="auto"/>
          <w:left w:val="single" w:sz="4" w:space="4" w:color="auto"/>
          <w:bottom w:val="single" w:sz="4" w:space="1" w:color="auto"/>
          <w:right w:val="single" w:sz="4" w:space="4" w:color="auto"/>
        </w:pBdr>
        <w:spacing w:after="0" w:line="240" w:lineRule="auto"/>
        <w:contextualSpacing/>
        <w:jc w:val="both"/>
        <w:rPr>
          <w:rFonts w:asciiTheme="majorHAnsi" w:hAnsiTheme="majorHAnsi"/>
          <w:sz w:val="24"/>
          <w:szCs w:val="24"/>
        </w:rPr>
      </w:pPr>
      <w:r w:rsidRPr="00113C90">
        <w:rPr>
          <w:rFonts w:asciiTheme="majorHAnsi" w:hAnsiTheme="majorHAnsi"/>
          <w:sz w:val="24"/>
          <w:szCs w:val="24"/>
        </w:rPr>
        <w:t xml:space="preserve">- </w:t>
      </w:r>
      <w:r w:rsidR="005A1B22" w:rsidRPr="00AE5CD3">
        <w:rPr>
          <w:rFonts w:asciiTheme="majorHAnsi" w:hAnsiTheme="majorHAnsi"/>
          <w:sz w:val="24"/>
          <w:szCs w:val="24"/>
        </w:rPr>
        <w:t>Намаляване на водопотреблението на подкрепените предприятия – количества потребени води</w:t>
      </w:r>
      <w:r w:rsidR="00F268D4" w:rsidRPr="00AE5CD3">
        <w:rPr>
          <w:rFonts w:asciiTheme="majorHAnsi" w:hAnsiTheme="majorHAnsi"/>
          <w:sz w:val="24"/>
          <w:szCs w:val="24"/>
        </w:rPr>
        <w:t xml:space="preserve"> (общо и при производството на единица продукция)  </w:t>
      </w:r>
      <w:r w:rsidR="005A1B22" w:rsidRPr="00AE5CD3">
        <w:rPr>
          <w:rFonts w:asciiTheme="majorHAnsi" w:hAnsiTheme="majorHAnsi"/>
          <w:sz w:val="24"/>
          <w:szCs w:val="24"/>
        </w:rPr>
        <w:t xml:space="preserve"> на годишна база, преди/след изпълнение на проекта в кубични метра/год. и/или</w:t>
      </w:r>
    </w:p>
    <w:p w:rsidR="005A1B22" w:rsidRPr="00AE5CD3" w:rsidRDefault="005A1B22" w:rsidP="008119B6">
      <w:pPr>
        <w:pBdr>
          <w:top w:val="single" w:sz="4" w:space="14" w:color="auto"/>
          <w:left w:val="single" w:sz="4" w:space="4" w:color="auto"/>
          <w:bottom w:val="single" w:sz="4" w:space="1" w:color="auto"/>
          <w:right w:val="single" w:sz="4" w:space="4" w:color="auto"/>
        </w:pBdr>
        <w:spacing w:after="0" w:line="240" w:lineRule="auto"/>
        <w:contextualSpacing/>
        <w:jc w:val="both"/>
        <w:rPr>
          <w:rFonts w:asciiTheme="majorHAnsi" w:hAnsiTheme="majorHAnsi"/>
          <w:sz w:val="24"/>
          <w:szCs w:val="24"/>
        </w:rPr>
      </w:pPr>
      <w:r w:rsidRPr="00AE5CD3">
        <w:rPr>
          <w:rFonts w:asciiTheme="majorHAnsi" w:hAnsiTheme="majorHAnsi"/>
          <w:sz w:val="24"/>
          <w:szCs w:val="24"/>
        </w:rPr>
        <w:t>-Брой проекти с дейности за подобряване на ресурсната ефективност.</w:t>
      </w:r>
    </w:p>
    <w:p w:rsidR="005A1B22" w:rsidRPr="00AE5CD3" w:rsidRDefault="005A1B22" w:rsidP="008119B6">
      <w:pPr>
        <w:pBdr>
          <w:top w:val="single" w:sz="4" w:space="14" w:color="auto"/>
          <w:left w:val="single" w:sz="4" w:space="4" w:color="auto"/>
          <w:bottom w:val="single" w:sz="4" w:space="1" w:color="auto"/>
          <w:right w:val="single" w:sz="4" w:space="4" w:color="auto"/>
        </w:pBdr>
        <w:spacing w:after="0" w:line="240" w:lineRule="auto"/>
        <w:contextualSpacing/>
        <w:jc w:val="both"/>
        <w:rPr>
          <w:rFonts w:asciiTheme="majorHAnsi" w:hAnsiTheme="majorHAnsi"/>
          <w:sz w:val="24"/>
          <w:szCs w:val="24"/>
        </w:rPr>
      </w:pPr>
    </w:p>
    <w:p w:rsidR="005A1B22" w:rsidRPr="00AE5CD3" w:rsidRDefault="005A1B22" w:rsidP="008119B6">
      <w:pPr>
        <w:pBdr>
          <w:top w:val="single" w:sz="4" w:space="14" w:color="auto"/>
          <w:left w:val="single" w:sz="4" w:space="4" w:color="auto"/>
          <w:bottom w:val="single" w:sz="4" w:space="1" w:color="auto"/>
          <w:right w:val="single" w:sz="4" w:space="4" w:color="auto"/>
        </w:pBdr>
        <w:spacing w:after="0" w:line="240" w:lineRule="auto"/>
        <w:contextualSpacing/>
        <w:jc w:val="both"/>
        <w:rPr>
          <w:rFonts w:asciiTheme="majorHAnsi" w:hAnsiTheme="majorHAnsi"/>
          <w:sz w:val="24"/>
          <w:szCs w:val="24"/>
        </w:rPr>
      </w:pPr>
      <w:r w:rsidRPr="00AE5CD3">
        <w:rPr>
          <w:rFonts w:asciiTheme="majorHAnsi" w:hAnsiTheme="majorHAnsi"/>
          <w:sz w:val="24"/>
          <w:szCs w:val="24"/>
        </w:rPr>
        <w:t>Отчитането на горепосочените показатели се отнася за период от една година от календарната година, следваща годината на приключване на проекта.</w:t>
      </w:r>
    </w:p>
    <w:p w:rsidR="005A1B22" w:rsidRPr="00AE5CD3" w:rsidRDefault="005A1B22" w:rsidP="008119B6">
      <w:pPr>
        <w:pBdr>
          <w:top w:val="single" w:sz="4" w:space="14" w:color="auto"/>
          <w:left w:val="single" w:sz="4" w:space="4" w:color="auto"/>
          <w:bottom w:val="single" w:sz="4" w:space="1" w:color="auto"/>
          <w:right w:val="single" w:sz="4" w:space="4" w:color="auto"/>
        </w:pBdr>
        <w:spacing w:after="0" w:line="240" w:lineRule="auto"/>
        <w:contextualSpacing/>
        <w:jc w:val="both"/>
        <w:rPr>
          <w:rFonts w:asciiTheme="majorHAnsi" w:hAnsiTheme="majorHAnsi"/>
          <w:sz w:val="24"/>
          <w:szCs w:val="24"/>
        </w:rPr>
      </w:pPr>
    </w:p>
    <w:p w:rsidR="00174F51" w:rsidRPr="00AE5CD3" w:rsidRDefault="00174F51" w:rsidP="008119B6">
      <w:pPr>
        <w:pBdr>
          <w:top w:val="single" w:sz="4" w:space="14" w:color="auto"/>
          <w:left w:val="single" w:sz="4" w:space="4" w:color="auto"/>
          <w:bottom w:val="single" w:sz="4" w:space="1" w:color="auto"/>
          <w:right w:val="single" w:sz="4" w:space="4" w:color="auto"/>
        </w:pBdr>
        <w:spacing w:after="0" w:line="240" w:lineRule="auto"/>
        <w:contextualSpacing/>
        <w:jc w:val="both"/>
        <w:rPr>
          <w:rFonts w:asciiTheme="majorHAnsi" w:hAnsiTheme="majorHAnsi"/>
          <w:sz w:val="24"/>
          <w:szCs w:val="24"/>
        </w:rPr>
      </w:pPr>
      <w:r w:rsidRPr="00AE5CD3">
        <w:rPr>
          <w:rFonts w:asciiTheme="majorHAnsi" w:hAnsiTheme="majorHAnsi"/>
          <w:sz w:val="24"/>
          <w:szCs w:val="24"/>
        </w:rPr>
        <w:t>В ИСУН се попълва информация само за индикаторите за изпълнение по ОПИК, описани в раздел 7</w:t>
      </w:r>
      <w:r w:rsidR="0010695E">
        <w:rPr>
          <w:rFonts w:asciiTheme="majorHAnsi" w:hAnsiTheme="majorHAnsi"/>
          <w:sz w:val="24"/>
          <w:szCs w:val="24"/>
        </w:rPr>
        <w:t>.</w:t>
      </w:r>
      <w:r w:rsidRPr="00AE5CD3">
        <w:rPr>
          <w:rFonts w:asciiTheme="majorHAnsi" w:hAnsiTheme="majorHAnsi"/>
          <w:sz w:val="24"/>
          <w:szCs w:val="24"/>
        </w:rPr>
        <w:t>1</w:t>
      </w:r>
    </w:p>
    <w:p w:rsidR="005A1B22" w:rsidRPr="00AE5CD3" w:rsidRDefault="00174F51" w:rsidP="008119B6">
      <w:pPr>
        <w:pBdr>
          <w:top w:val="single" w:sz="4" w:space="14" w:color="auto"/>
          <w:left w:val="single" w:sz="4" w:space="4" w:color="auto"/>
          <w:bottom w:val="single" w:sz="4" w:space="1" w:color="auto"/>
          <w:right w:val="single" w:sz="4" w:space="4" w:color="auto"/>
        </w:pBdr>
        <w:spacing w:after="0" w:line="240" w:lineRule="auto"/>
        <w:contextualSpacing/>
        <w:jc w:val="both"/>
        <w:rPr>
          <w:rFonts w:asciiTheme="majorHAnsi" w:hAnsiTheme="majorHAnsi"/>
          <w:i/>
          <w:sz w:val="24"/>
          <w:szCs w:val="24"/>
        </w:rPr>
      </w:pPr>
      <w:r w:rsidRPr="00AE5CD3">
        <w:rPr>
          <w:rFonts w:asciiTheme="majorHAnsi" w:hAnsiTheme="majorHAnsi"/>
          <w:i/>
          <w:sz w:val="24"/>
          <w:szCs w:val="24"/>
        </w:rPr>
        <w:t xml:space="preserve">Забележка: </w:t>
      </w:r>
      <w:r w:rsidR="005A1B22" w:rsidRPr="00AE5CD3">
        <w:rPr>
          <w:rFonts w:asciiTheme="majorHAnsi" w:hAnsiTheme="majorHAnsi"/>
          <w:i/>
          <w:sz w:val="24"/>
          <w:szCs w:val="24"/>
        </w:rPr>
        <w:t>В случай на разминаване между заложените от кандидата стойности на индикаторите в т. 8 от Формуляра за кандидатстване и стойностите получени при оценката на проектното предложения, за изпълнение на проекта в договора за безвъзмездна финансова помощ ще се вземат предвид стойностите, получени при оценката на проектното предложение.</w:t>
      </w:r>
    </w:p>
    <w:p w:rsidR="005A1B22" w:rsidRPr="00AE5CD3" w:rsidRDefault="005A1B22" w:rsidP="008119B6">
      <w:pPr>
        <w:pBdr>
          <w:top w:val="single" w:sz="4" w:space="14" w:color="auto"/>
          <w:left w:val="single" w:sz="4" w:space="4" w:color="auto"/>
          <w:bottom w:val="single" w:sz="4" w:space="1" w:color="auto"/>
          <w:right w:val="single" w:sz="4" w:space="4" w:color="auto"/>
        </w:pBdr>
        <w:spacing w:after="0" w:line="240" w:lineRule="auto"/>
        <w:contextualSpacing/>
        <w:rPr>
          <w:rFonts w:asciiTheme="majorHAnsi" w:hAnsiTheme="majorHAnsi"/>
          <w:b/>
          <w:sz w:val="24"/>
          <w:szCs w:val="24"/>
        </w:rPr>
      </w:pPr>
    </w:p>
    <w:p w:rsidR="00174F51" w:rsidRPr="00AE5CD3" w:rsidRDefault="005A1B22" w:rsidP="008119B6">
      <w:pPr>
        <w:pBdr>
          <w:top w:val="single" w:sz="4" w:space="14" w:color="auto"/>
          <w:left w:val="single" w:sz="4" w:space="4" w:color="auto"/>
          <w:bottom w:val="single" w:sz="4" w:space="1" w:color="auto"/>
          <w:right w:val="single" w:sz="4" w:space="4" w:color="auto"/>
        </w:pBdr>
        <w:spacing w:after="0" w:line="240" w:lineRule="auto"/>
        <w:contextualSpacing/>
        <w:rPr>
          <w:rFonts w:asciiTheme="majorHAnsi" w:hAnsiTheme="majorHAnsi"/>
          <w:b/>
          <w:sz w:val="24"/>
          <w:szCs w:val="24"/>
        </w:rPr>
      </w:pPr>
      <w:r w:rsidRPr="00AE5CD3">
        <w:rPr>
          <w:rFonts w:asciiTheme="majorHAnsi" w:hAnsiTheme="majorHAnsi"/>
          <w:b/>
          <w:sz w:val="24"/>
          <w:szCs w:val="24"/>
        </w:rPr>
        <w:t xml:space="preserve"> Специфични за територията индикатори</w:t>
      </w:r>
    </w:p>
    <w:p w:rsidR="00382C53" w:rsidRPr="00AE5CD3" w:rsidRDefault="005A1B22" w:rsidP="008119B6">
      <w:pPr>
        <w:pBdr>
          <w:top w:val="single" w:sz="4" w:space="14" w:color="auto"/>
          <w:left w:val="single" w:sz="4" w:space="4" w:color="auto"/>
          <w:bottom w:val="single" w:sz="4" w:space="1" w:color="auto"/>
          <w:right w:val="single" w:sz="4" w:space="4" w:color="auto"/>
        </w:pBdr>
        <w:spacing w:after="0" w:line="240" w:lineRule="auto"/>
        <w:contextualSpacing/>
        <w:jc w:val="both"/>
        <w:rPr>
          <w:rFonts w:asciiTheme="majorHAnsi" w:hAnsiTheme="majorHAnsi"/>
          <w:sz w:val="24"/>
          <w:szCs w:val="24"/>
        </w:rPr>
      </w:pPr>
      <w:bookmarkStart w:id="36" w:name="_Toc476823141"/>
      <w:r w:rsidRPr="00AE5CD3">
        <w:rPr>
          <w:rFonts w:asciiTheme="majorHAnsi" w:hAnsiTheme="majorHAnsi"/>
          <w:sz w:val="24"/>
          <w:szCs w:val="24"/>
        </w:rPr>
        <w:lastRenderedPageBreak/>
        <w:t xml:space="preserve">В </w:t>
      </w:r>
      <w:r w:rsidR="004777BF">
        <w:rPr>
          <w:rFonts w:asciiTheme="majorHAnsi" w:hAnsiTheme="majorHAnsi"/>
          <w:sz w:val="24"/>
          <w:szCs w:val="24"/>
        </w:rPr>
        <w:t xml:space="preserve">секция </w:t>
      </w:r>
      <w:r w:rsidRPr="00AE5CD3">
        <w:rPr>
          <w:rFonts w:asciiTheme="majorHAnsi" w:hAnsiTheme="majorHAnsi"/>
          <w:sz w:val="24"/>
          <w:szCs w:val="24"/>
        </w:rPr>
        <w:t>11 от Формуляра за кандидатстване</w:t>
      </w:r>
      <w:r w:rsidR="00382C53" w:rsidRPr="00AE5CD3">
        <w:rPr>
          <w:rFonts w:asciiTheme="majorHAnsi" w:hAnsiTheme="majorHAnsi"/>
          <w:sz w:val="24"/>
          <w:szCs w:val="24"/>
        </w:rPr>
        <w:t>,</w:t>
      </w:r>
      <w:r w:rsidRPr="00AE5CD3">
        <w:rPr>
          <w:rFonts w:asciiTheme="majorHAnsi" w:hAnsiTheme="majorHAnsi"/>
          <w:sz w:val="24"/>
          <w:szCs w:val="24"/>
        </w:rPr>
        <w:t xml:space="preserve"> в специално полe</w:t>
      </w:r>
      <w:r w:rsidR="00382C53" w:rsidRPr="00AE5CD3">
        <w:rPr>
          <w:rFonts w:asciiTheme="majorHAnsi" w:hAnsiTheme="majorHAnsi"/>
          <w:sz w:val="24"/>
          <w:szCs w:val="24"/>
        </w:rPr>
        <w:t>,</w:t>
      </w:r>
      <w:r w:rsidRPr="00AE5CD3">
        <w:rPr>
          <w:rFonts w:asciiTheme="majorHAnsi" w:hAnsiTheme="majorHAnsi"/>
          <w:sz w:val="24"/>
          <w:szCs w:val="24"/>
        </w:rPr>
        <w:t xml:space="preserve"> кандидатът предоставя информация за приложимите за проекта специфични индикатори за изпълнение на СВОМР. Специфичните за територията индикатори се отчитат на ниво </w:t>
      </w:r>
      <w:r w:rsidR="00AD0E40">
        <w:rPr>
          <w:rFonts w:asciiTheme="majorHAnsi" w:hAnsiTheme="majorHAnsi"/>
          <w:sz w:val="24"/>
          <w:szCs w:val="24"/>
        </w:rPr>
        <w:t>подкрепено МСП на тери</w:t>
      </w:r>
      <w:r w:rsidR="0044269B">
        <w:rPr>
          <w:rFonts w:asciiTheme="majorHAnsi" w:hAnsiTheme="majorHAnsi"/>
          <w:sz w:val="24"/>
          <w:szCs w:val="24"/>
        </w:rPr>
        <w:t>торията на МИГ-Кирково-Златоград и СВОМР</w:t>
      </w:r>
      <w:r w:rsidR="00AD0E40">
        <w:rPr>
          <w:rFonts w:asciiTheme="majorHAnsi" w:hAnsiTheme="majorHAnsi"/>
          <w:sz w:val="24"/>
          <w:szCs w:val="24"/>
        </w:rPr>
        <w:t xml:space="preserve">. </w:t>
      </w:r>
      <w:r w:rsidR="00382C53" w:rsidRPr="00AE5CD3">
        <w:rPr>
          <w:rFonts w:asciiTheme="majorHAnsi" w:hAnsiTheme="majorHAnsi"/>
          <w:sz w:val="24"/>
          <w:szCs w:val="24"/>
        </w:rPr>
        <w:t xml:space="preserve"> Те са:</w:t>
      </w:r>
    </w:p>
    <w:p w:rsidR="002D70D1" w:rsidRPr="002D70D1" w:rsidRDefault="002D70D1" w:rsidP="002D70D1">
      <w:pPr>
        <w:pBdr>
          <w:top w:val="single" w:sz="4" w:space="14" w:color="auto"/>
          <w:left w:val="single" w:sz="4" w:space="4" w:color="auto"/>
          <w:bottom w:val="single" w:sz="4" w:space="1" w:color="auto"/>
          <w:right w:val="single" w:sz="4" w:space="4" w:color="auto"/>
        </w:pBdr>
        <w:spacing w:after="0" w:line="240" w:lineRule="auto"/>
        <w:contextualSpacing/>
        <w:jc w:val="both"/>
        <w:rPr>
          <w:rFonts w:asciiTheme="majorHAnsi" w:hAnsiTheme="majorHAnsi"/>
          <w:sz w:val="24"/>
          <w:szCs w:val="24"/>
        </w:rPr>
      </w:pPr>
      <w:r w:rsidRPr="002D70D1">
        <w:rPr>
          <w:rFonts w:asciiTheme="majorHAnsi" w:hAnsiTheme="majorHAnsi"/>
          <w:sz w:val="24"/>
          <w:szCs w:val="24"/>
          <w:lang w:val="ru-RU"/>
        </w:rPr>
        <w:t xml:space="preserve">- </w:t>
      </w:r>
      <w:r w:rsidRPr="002D70D1">
        <w:rPr>
          <w:rFonts w:asciiTheme="majorHAnsi" w:hAnsiTheme="majorHAnsi"/>
          <w:sz w:val="24"/>
          <w:szCs w:val="24"/>
        </w:rPr>
        <w:t>Брой на предприятията, получаващи безвъзмездни  средства</w:t>
      </w:r>
      <w:r>
        <w:rPr>
          <w:rFonts w:asciiTheme="majorHAnsi" w:hAnsiTheme="majorHAnsi"/>
          <w:sz w:val="24"/>
          <w:szCs w:val="24"/>
        </w:rPr>
        <w:t>;</w:t>
      </w:r>
    </w:p>
    <w:p w:rsidR="005A1B22" w:rsidRPr="002D70D1" w:rsidRDefault="002D70D1" w:rsidP="002D70D1">
      <w:pPr>
        <w:pBdr>
          <w:top w:val="single" w:sz="4" w:space="14" w:color="auto"/>
          <w:left w:val="single" w:sz="4" w:space="4" w:color="auto"/>
          <w:bottom w:val="single" w:sz="4" w:space="1" w:color="auto"/>
          <w:right w:val="single" w:sz="4" w:space="4" w:color="auto"/>
        </w:pBdr>
        <w:spacing w:after="0" w:line="240" w:lineRule="auto"/>
        <w:contextualSpacing/>
        <w:jc w:val="both"/>
        <w:rPr>
          <w:rFonts w:asciiTheme="majorHAnsi" w:hAnsiTheme="majorHAnsi"/>
          <w:lang w:val="ru-RU"/>
        </w:rPr>
      </w:pPr>
      <w:r w:rsidRPr="002D70D1">
        <w:rPr>
          <w:rFonts w:asciiTheme="majorHAnsi" w:hAnsiTheme="majorHAnsi"/>
          <w:sz w:val="24"/>
          <w:szCs w:val="24"/>
        </w:rPr>
        <w:t>- Частни инвестиции, допълващи публичната подкрепа за предприятията (безвъзмездни средства)</w:t>
      </w:r>
      <w:r>
        <w:rPr>
          <w:rFonts w:asciiTheme="majorHAnsi" w:hAnsiTheme="majorHAnsi"/>
          <w:sz w:val="24"/>
          <w:szCs w:val="24"/>
        </w:rPr>
        <w:t>;</w:t>
      </w:r>
      <w:bookmarkEnd w:id="36"/>
    </w:p>
    <w:p w:rsidR="005A1B22" w:rsidRPr="00AE5CD3" w:rsidRDefault="005A1B22" w:rsidP="008119B6">
      <w:pPr>
        <w:pStyle w:val="20"/>
        <w:spacing w:before="0" w:line="240" w:lineRule="auto"/>
        <w:rPr>
          <w:rFonts w:asciiTheme="majorHAnsi" w:hAnsiTheme="majorHAnsi"/>
        </w:rPr>
      </w:pPr>
      <w:bookmarkStart w:id="37" w:name="_Toc514333698"/>
      <w:bookmarkStart w:id="38" w:name="_Toc514334538"/>
      <w:bookmarkStart w:id="39" w:name="_Toc514334630"/>
      <w:r w:rsidRPr="00AE5CD3">
        <w:rPr>
          <w:rFonts w:asciiTheme="majorHAnsi" w:hAnsiTheme="majorHAnsi"/>
        </w:rPr>
        <w:t>8. Общ размер на безвъзмездната финансова помощ по процедурата</w:t>
      </w:r>
      <w:bookmarkEnd w:id="37"/>
      <w:bookmarkEnd w:id="38"/>
      <w:bookmarkEnd w:id="39"/>
    </w:p>
    <w:p w:rsidR="00F54225"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Общият размер на безвъзмездната финансова помощ по процедура</w:t>
      </w:r>
      <w:r w:rsidR="00F22A82" w:rsidRPr="00AE5CD3">
        <w:rPr>
          <w:rFonts w:asciiTheme="majorHAnsi" w:hAnsiTheme="majorHAnsi"/>
          <w:sz w:val="24"/>
          <w:szCs w:val="24"/>
        </w:rPr>
        <w:t>та</w:t>
      </w:r>
      <w:r w:rsidRPr="00AE5CD3">
        <w:rPr>
          <w:rFonts w:asciiTheme="majorHAnsi" w:hAnsiTheme="majorHAnsi"/>
          <w:sz w:val="24"/>
          <w:szCs w:val="24"/>
        </w:rPr>
        <w:t xml:space="preserve"> „Подобряване на производствения капацитет в МСП на територията на МИГ </w:t>
      </w:r>
      <w:r w:rsidR="007A1934" w:rsidRPr="00AE5CD3">
        <w:rPr>
          <w:rFonts w:asciiTheme="majorHAnsi" w:hAnsiTheme="majorHAnsi"/>
          <w:sz w:val="24"/>
          <w:szCs w:val="24"/>
        </w:rPr>
        <w:t>Кирково-Златоград</w:t>
      </w:r>
      <w:r w:rsidRPr="00AE5CD3">
        <w:rPr>
          <w:rFonts w:asciiTheme="majorHAnsi" w:hAnsiTheme="majorHAnsi"/>
          <w:sz w:val="24"/>
          <w:szCs w:val="24"/>
        </w:rPr>
        <w:t xml:space="preserve">“ </w:t>
      </w:r>
      <w:r w:rsidR="00F22A82" w:rsidRPr="00AE5CD3">
        <w:rPr>
          <w:rFonts w:asciiTheme="majorHAnsi" w:hAnsiTheme="majorHAnsi"/>
          <w:sz w:val="24"/>
          <w:szCs w:val="24"/>
        </w:rPr>
        <w:t xml:space="preserve">за подбор на проекти по стратегията за ВОМР </w:t>
      </w:r>
      <w:r w:rsidR="00B23E83" w:rsidRPr="00AE5CD3">
        <w:rPr>
          <w:rFonts w:asciiTheme="majorHAnsi" w:hAnsiTheme="majorHAnsi"/>
          <w:sz w:val="24"/>
          <w:szCs w:val="24"/>
        </w:rPr>
        <w:t xml:space="preserve">е  1 955 800 лв. </w:t>
      </w:r>
    </w:p>
    <w:tbl>
      <w:tblPr>
        <w:tblW w:w="0" w:type="auto"/>
        <w:tblCellMar>
          <w:left w:w="70" w:type="dxa"/>
          <w:right w:w="70" w:type="dxa"/>
        </w:tblCellMar>
        <w:tblLook w:val="04A0"/>
      </w:tblPr>
      <w:tblGrid>
        <w:gridCol w:w="3260"/>
        <w:gridCol w:w="4051"/>
        <w:gridCol w:w="2468"/>
      </w:tblGrid>
      <w:tr w:rsidR="00276A38" w:rsidRPr="00F54225" w:rsidTr="004B2D03">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54225" w:rsidRPr="00F54225" w:rsidRDefault="00F54225" w:rsidP="00F54225">
            <w:pPr>
              <w:spacing w:after="0" w:line="240" w:lineRule="auto"/>
              <w:jc w:val="center"/>
              <w:rPr>
                <w:rFonts w:ascii="Times New Roman" w:eastAsia="Times New Roman" w:hAnsi="Times New Roman" w:cs="Times New Roman"/>
                <w:b/>
                <w:bCs/>
                <w:color w:val="000000"/>
                <w:sz w:val="24"/>
                <w:szCs w:val="24"/>
                <w:lang w:eastAsia="bg-BG"/>
              </w:rPr>
            </w:pPr>
            <w:r w:rsidRPr="00F54225">
              <w:rPr>
                <w:rFonts w:ascii="Times New Roman" w:eastAsia="Times New Roman" w:hAnsi="Times New Roman" w:cs="Times New Roman"/>
                <w:b/>
                <w:bCs/>
                <w:color w:val="000000"/>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4225" w:rsidRPr="00F54225" w:rsidRDefault="00F54225" w:rsidP="00F54225">
            <w:pPr>
              <w:spacing w:after="0" w:line="240" w:lineRule="auto"/>
              <w:jc w:val="center"/>
              <w:rPr>
                <w:rFonts w:ascii="Times New Roman" w:eastAsia="Times New Roman" w:hAnsi="Times New Roman" w:cs="Times New Roman"/>
                <w:b/>
                <w:bCs/>
                <w:color w:val="000000"/>
                <w:sz w:val="24"/>
                <w:szCs w:val="24"/>
                <w:lang w:eastAsia="bg-BG"/>
              </w:rPr>
            </w:pPr>
            <w:r w:rsidRPr="00F54225">
              <w:rPr>
                <w:rFonts w:ascii="Times New Roman" w:eastAsia="Times New Roman" w:hAnsi="Times New Roman" w:cs="Times New Roman"/>
                <w:b/>
                <w:bCs/>
                <w:color w:val="000000"/>
                <w:sz w:val="24"/>
                <w:szCs w:val="24"/>
                <w:lang w:eastAsia="bg-BG"/>
              </w:rPr>
              <w:t>Средства от Европейския фонд за регионално развитие (ЕФРР)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4225" w:rsidRPr="00F54225" w:rsidRDefault="00F54225" w:rsidP="00F54225">
            <w:pPr>
              <w:spacing w:after="0" w:line="240" w:lineRule="auto"/>
              <w:jc w:val="center"/>
              <w:rPr>
                <w:rFonts w:ascii="Times New Roman" w:eastAsia="Times New Roman" w:hAnsi="Times New Roman" w:cs="Times New Roman"/>
                <w:b/>
                <w:bCs/>
                <w:color w:val="000000"/>
                <w:sz w:val="24"/>
                <w:szCs w:val="24"/>
                <w:lang w:eastAsia="bg-BG"/>
              </w:rPr>
            </w:pPr>
            <w:r w:rsidRPr="00F54225">
              <w:rPr>
                <w:rFonts w:ascii="Times New Roman" w:eastAsia="Times New Roman" w:hAnsi="Times New Roman" w:cs="Times New Roman"/>
                <w:b/>
                <w:bCs/>
                <w:color w:val="000000"/>
                <w:sz w:val="24"/>
                <w:szCs w:val="24"/>
                <w:lang w:eastAsia="bg-BG"/>
              </w:rPr>
              <w:t>Национално съфинансиране</w:t>
            </w:r>
          </w:p>
        </w:tc>
      </w:tr>
      <w:tr w:rsidR="00276A38" w:rsidRPr="00F54225" w:rsidTr="004B2D0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54225" w:rsidRDefault="00F54225" w:rsidP="00F54225">
            <w:pPr>
              <w:spacing w:after="0" w:line="240" w:lineRule="auto"/>
              <w:jc w:val="center"/>
              <w:rPr>
                <w:rFonts w:ascii="Times New Roman" w:eastAsia="Times New Roman" w:hAnsi="Times New Roman" w:cs="Times New Roman"/>
                <w:sz w:val="24"/>
                <w:szCs w:val="24"/>
                <w:lang w:eastAsia="bg-BG"/>
              </w:rPr>
            </w:pPr>
            <w:r w:rsidRPr="00F54225">
              <w:rPr>
                <w:rFonts w:ascii="Times New Roman" w:eastAsia="Times New Roman" w:hAnsi="Times New Roman" w:cs="Times New Roman"/>
                <w:sz w:val="24"/>
                <w:szCs w:val="24"/>
                <w:lang w:eastAsia="bg-BG"/>
              </w:rPr>
              <w:t>1 955 8</w:t>
            </w:r>
            <w:r>
              <w:rPr>
                <w:rFonts w:ascii="Times New Roman" w:eastAsia="Times New Roman" w:hAnsi="Times New Roman" w:cs="Times New Roman"/>
                <w:sz w:val="24"/>
                <w:szCs w:val="24"/>
                <w:lang w:eastAsia="bg-BG"/>
              </w:rPr>
              <w:t>0</w:t>
            </w:r>
            <w:r w:rsidRPr="00F54225">
              <w:rPr>
                <w:rFonts w:ascii="Times New Roman" w:eastAsia="Times New Roman" w:hAnsi="Times New Roman" w:cs="Times New Roman"/>
                <w:sz w:val="24"/>
                <w:szCs w:val="24"/>
                <w:lang w:eastAsia="bg-BG"/>
              </w:rPr>
              <w:t>0,00 лева</w:t>
            </w:r>
          </w:p>
          <w:p w:rsidR="00F54225" w:rsidRDefault="00F54225" w:rsidP="00F54225">
            <w:pPr>
              <w:spacing w:after="0" w:line="240" w:lineRule="auto"/>
              <w:jc w:val="center"/>
              <w:rPr>
                <w:rFonts w:ascii="Times New Roman" w:eastAsia="Times New Roman" w:hAnsi="Times New Roman" w:cs="Times New Roman"/>
                <w:sz w:val="24"/>
                <w:szCs w:val="24"/>
                <w:lang w:eastAsia="bg-BG"/>
              </w:rPr>
            </w:pPr>
          </w:p>
          <w:p w:rsidR="00F54225" w:rsidRPr="00F54225" w:rsidRDefault="00276A38" w:rsidP="00276A38">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999 984,66 </w:t>
            </w:r>
            <w:r w:rsidR="00F54225">
              <w:rPr>
                <w:rFonts w:ascii="Times New Roman" w:eastAsia="Times New Roman" w:hAnsi="Times New Roman" w:cs="Times New Roman"/>
                <w:sz w:val="24"/>
                <w:szCs w:val="24"/>
                <w:lang w:eastAsia="bg-BG"/>
              </w:rPr>
              <w:t xml:space="preserve">евро </w:t>
            </w:r>
          </w:p>
        </w:tc>
        <w:tc>
          <w:tcPr>
            <w:tcW w:w="0" w:type="auto"/>
            <w:tcBorders>
              <w:top w:val="single" w:sz="4" w:space="0" w:color="auto"/>
              <w:left w:val="nil"/>
              <w:bottom w:val="single" w:sz="4" w:space="0" w:color="auto"/>
              <w:right w:val="single" w:sz="4" w:space="0" w:color="auto"/>
            </w:tcBorders>
            <w:shd w:val="clear" w:color="auto" w:fill="auto"/>
            <w:vAlign w:val="center"/>
          </w:tcPr>
          <w:p w:rsidR="00F54225" w:rsidRDefault="00DF32B5" w:rsidP="00F54225">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1 662 430 </w:t>
            </w:r>
            <w:r w:rsidR="00F54225">
              <w:rPr>
                <w:rFonts w:ascii="Times New Roman" w:eastAsia="Times New Roman" w:hAnsi="Times New Roman" w:cs="Times New Roman"/>
                <w:sz w:val="24"/>
                <w:szCs w:val="24"/>
                <w:lang w:eastAsia="bg-BG"/>
              </w:rPr>
              <w:t>лева</w:t>
            </w:r>
          </w:p>
          <w:p w:rsidR="00F54225" w:rsidRDefault="00F54225" w:rsidP="00F54225">
            <w:pPr>
              <w:spacing w:after="0" w:line="240" w:lineRule="auto"/>
              <w:jc w:val="center"/>
              <w:rPr>
                <w:rFonts w:ascii="Times New Roman" w:eastAsia="Times New Roman" w:hAnsi="Times New Roman" w:cs="Times New Roman"/>
                <w:sz w:val="24"/>
                <w:szCs w:val="24"/>
                <w:lang w:eastAsia="bg-BG"/>
              </w:rPr>
            </w:pPr>
          </w:p>
          <w:p w:rsidR="00F54225" w:rsidRPr="00F54225" w:rsidRDefault="00276A38" w:rsidP="00276A38">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849 986,96 </w:t>
            </w:r>
            <w:r w:rsidR="00F54225">
              <w:rPr>
                <w:rFonts w:ascii="Times New Roman" w:eastAsia="Times New Roman" w:hAnsi="Times New Roman" w:cs="Times New Roman"/>
                <w:sz w:val="24"/>
                <w:szCs w:val="24"/>
                <w:lang w:eastAsia="bg-BG"/>
              </w:rPr>
              <w:t>евро</w:t>
            </w:r>
          </w:p>
        </w:tc>
        <w:tc>
          <w:tcPr>
            <w:tcW w:w="0" w:type="auto"/>
            <w:tcBorders>
              <w:top w:val="single" w:sz="4" w:space="0" w:color="auto"/>
              <w:left w:val="nil"/>
              <w:bottom w:val="single" w:sz="4" w:space="0" w:color="auto"/>
              <w:right w:val="single" w:sz="4" w:space="0" w:color="auto"/>
            </w:tcBorders>
            <w:shd w:val="clear" w:color="auto" w:fill="auto"/>
            <w:vAlign w:val="center"/>
          </w:tcPr>
          <w:p w:rsidR="00F54225" w:rsidRPr="00F54225" w:rsidRDefault="00DF32B5" w:rsidP="00F54225">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293 370 </w:t>
            </w:r>
            <w:r w:rsidR="00F54225" w:rsidRPr="00F54225">
              <w:rPr>
                <w:rFonts w:ascii="Times New Roman" w:eastAsia="Times New Roman" w:hAnsi="Times New Roman" w:cs="Times New Roman"/>
                <w:sz w:val="24"/>
                <w:szCs w:val="24"/>
                <w:lang w:eastAsia="bg-BG"/>
              </w:rPr>
              <w:t>лева</w:t>
            </w:r>
          </w:p>
          <w:p w:rsidR="00F54225" w:rsidRPr="00F54225" w:rsidRDefault="00F54225" w:rsidP="00F54225">
            <w:pPr>
              <w:spacing w:after="0" w:line="240" w:lineRule="auto"/>
              <w:jc w:val="center"/>
              <w:rPr>
                <w:rFonts w:ascii="Times New Roman" w:eastAsia="Times New Roman" w:hAnsi="Times New Roman" w:cs="Times New Roman"/>
                <w:sz w:val="24"/>
                <w:szCs w:val="24"/>
                <w:lang w:eastAsia="bg-BG"/>
              </w:rPr>
            </w:pPr>
          </w:p>
          <w:p w:rsidR="00F54225" w:rsidRPr="00F54225" w:rsidRDefault="00276A38" w:rsidP="00276A38">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149 997,70 </w:t>
            </w:r>
            <w:r w:rsidR="00F54225" w:rsidRPr="00F54225">
              <w:rPr>
                <w:rFonts w:ascii="Times New Roman" w:eastAsia="Times New Roman" w:hAnsi="Times New Roman" w:cs="Times New Roman"/>
                <w:sz w:val="24"/>
                <w:szCs w:val="24"/>
                <w:lang w:eastAsia="bg-BG"/>
              </w:rPr>
              <w:t>евро</w:t>
            </w:r>
          </w:p>
        </w:tc>
      </w:tr>
    </w:tbl>
    <w:p w:rsidR="00F54225" w:rsidRDefault="00F249F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F249F2">
        <w:rPr>
          <w:rFonts w:asciiTheme="majorHAnsi" w:hAnsiTheme="majorHAnsi"/>
          <w:sz w:val="24"/>
          <w:szCs w:val="24"/>
        </w:rPr>
        <w:t>Посоченият бюджет не може да бъде увеличаван, ако увеличението ще доведе до надхвърляне на прага по мярка „</w:t>
      </w:r>
      <w:r w:rsidR="00DB401F">
        <w:rPr>
          <w:rFonts w:asciiTheme="majorHAnsi" w:hAnsiTheme="majorHAnsi"/>
          <w:sz w:val="24"/>
          <w:szCs w:val="24"/>
        </w:rPr>
        <w:t xml:space="preserve">Подобряване на производствения капацитет в МСП на територията на МИГ-Кирково-Златоград“ </w:t>
      </w:r>
      <w:r w:rsidRPr="00F249F2">
        <w:rPr>
          <w:rFonts w:asciiTheme="majorHAnsi" w:hAnsiTheme="majorHAnsi"/>
          <w:sz w:val="24"/>
          <w:szCs w:val="24"/>
        </w:rPr>
        <w:t>от Стратегията за Водено от об</w:t>
      </w:r>
      <w:r w:rsidR="00DB401F">
        <w:rPr>
          <w:rFonts w:asciiTheme="majorHAnsi" w:hAnsiTheme="majorHAnsi"/>
          <w:sz w:val="24"/>
          <w:szCs w:val="24"/>
        </w:rPr>
        <w:t xml:space="preserve">щностите местно развитие на МИГ Кирково-Златоград </w:t>
      </w:r>
      <w:r w:rsidRPr="00F249F2">
        <w:rPr>
          <w:rFonts w:asciiTheme="majorHAnsi" w:hAnsiTheme="majorHAnsi"/>
          <w:sz w:val="24"/>
          <w:szCs w:val="24"/>
        </w:rPr>
        <w:t xml:space="preserve"> от 1 955 800,00 лева.  </w:t>
      </w:r>
    </w:p>
    <w:p w:rsidR="00DB401F" w:rsidRDefault="00DB401F" w:rsidP="004D1479">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p>
    <w:p w:rsidR="004D1479" w:rsidRDefault="00DF32B5" w:rsidP="004D1479">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Pr>
          <w:rFonts w:asciiTheme="majorHAnsi" w:hAnsiTheme="majorHAnsi"/>
          <w:sz w:val="24"/>
          <w:szCs w:val="24"/>
        </w:rPr>
        <w:t xml:space="preserve">Общият </w:t>
      </w:r>
      <w:r w:rsidR="004D1479" w:rsidRPr="00AE5CD3">
        <w:rPr>
          <w:rFonts w:asciiTheme="majorHAnsi" w:hAnsiTheme="majorHAnsi"/>
          <w:sz w:val="24"/>
          <w:szCs w:val="24"/>
        </w:rPr>
        <w:t xml:space="preserve">размер  </w:t>
      </w:r>
      <w:r>
        <w:rPr>
          <w:rFonts w:asciiTheme="majorHAnsi" w:hAnsiTheme="majorHAnsi"/>
          <w:sz w:val="24"/>
          <w:szCs w:val="24"/>
        </w:rPr>
        <w:t xml:space="preserve">на БФП </w:t>
      </w:r>
      <w:r w:rsidR="004D1479" w:rsidRPr="00AE5CD3">
        <w:rPr>
          <w:rFonts w:asciiTheme="majorHAnsi" w:hAnsiTheme="majorHAnsi"/>
          <w:sz w:val="24"/>
          <w:szCs w:val="24"/>
        </w:rPr>
        <w:t>се  разпределя по планираните три крайни срока  за подаване на проектни предложения, както следва:</w:t>
      </w:r>
    </w:p>
    <w:p w:rsidR="00C07854"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color w:val="000000"/>
          <w:sz w:val="24"/>
          <w:szCs w:val="24"/>
        </w:rPr>
      </w:pPr>
      <w:r w:rsidRPr="00AE5CD3">
        <w:rPr>
          <w:rFonts w:asciiTheme="majorHAnsi" w:hAnsiTheme="majorHAnsi"/>
          <w:b/>
          <w:color w:val="000000"/>
          <w:sz w:val="24"/>
          <w:szCs w:val="24"/>
        </w:rPr>
        <w:t>Първи прием:</w:t>
      </w:r>
      <w:r w:rsidR="00276A38">
        <w:rPr>
          <w:rFonts w:asciiTheme="majorHAnsi" w:hAnsiTheme="majorHAnsi"/>
          <w:b/>
          <w:color w:val="000000"/>
          <w:sz w:val="24"/>
          <w:szCs w:val="24"/>
        </w:rPr>
        <w:t xml:space="preserve"> </w:t>
      </w:r>
      <w:r w:rsidR="00B23E83" w:rsidRPr="00AE5CD3">
        <w:rPr>
          <w:rFonts w:asciiTheme="majorHAnsi" w:hAnsiTheme="majorHAnsi"/>
          <w:color w:val="000000"/>
          <w:sz w:val="24"/>
          <w:szCs w:val="24"/>
        </w:rPr>
        <w:t>Общият размер на безвъзмездната финансова помощ по този прием  е 1955800 лв</w:t>
      </w:r>
      <w:r w:rsidR="00296AD8" w:rsidRPr="00AE5CD3">
        <w:rPr>
          <w:rStyle w:val="ae"/>
          <w:rFonts w:asciiTheme="majorHAnsi" w:hAnsiTheme="majorHAnsi"/>
          <w:color w:val="000000"/>
          <w:sz w:val="24"/>
          <w:szCs w:val="24"/>
        </w:rPr>
        <w:footnoteReference w:id="3"/>
      </w:r>
      <w:r w:rsidR="00B23E83" w:rsidRPr="00AE5CD3">
        <w:rPr>
          <w:rFonts w:asciiTheme="majorHAnsi" w:hAnsiTheme="majorHAnsi"/>
          <w:color w:val="000000"/>
          <w:sz w:val="24"/>
          <w:szCs w:val="24"/>
        </w:rPr>
        <w:t xml:space="preserve">, в т.ч. </w:t>
      </w:r>
      <w:r w:rsidR="00296AD8" w:rsidRPr="00AE5CD3">
        <w:rPr>
          <w:rFonts w:asciiTheme="majorHAnsi" w:hAnsiTheme="majorHAnsi"/>
          <w:color w:val="000000"/>
          <w:sz w:val="24"/>
          <w:szCs w:val="24"/>
        </w:rPr>
        <w:t>средства от ЕФРР – 1 662 430 лв, национално съфинансиране – 293 370 лв</w:t>
      </w:r>
    </w:p>
    <w:p w:rsidR="00296AD8" w:rsidRPr="00AE5CD3" w:rsidRDefault="00296AD8"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color w:val="000000"/>
          <w:sz w:val="24"/>
          <w:szCs w:val="24"/>
        </w:rPr>
      </w:pPr>
      <w:r w:rsidRPr="00AE5CD3">
        <w:rPr>
          <w:rFonts w:asciiTheme="majorHAnsi" w:hAnsiTheme="majorHAnsi"/>
          <w:b/>
          <w:color w:val="000000"/>
          <w:sz w:val="24"/>
          <w:szCs w:val="24"/>
        </w:rPr>
        <w:t>Втори прием</w:t>
      </w:r>
      <w:r w:rsidRPr="00AE5CD3">
        <w:rPr>
          <w:rFonts w:asciiTheme="majorHAnsi" w:hAnsiTheme="majorHAnsi"/>
          <w:color w:val="000000"/>
          <w:sz w:val="24"/>
          <w:szCs w:val="24"/>
        </w:rPr>
        <w:t xml:space="preserve">: Ще се използват остатъчните средства, ако има такива, след приключване на първия прием през 2018 г. </w:t>
      </w:r>
    </w:p>
    <w:p w:rsidR="00B23E83" w:rsidRDefault="00296AD8"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color w:val="000000"/>
          <w:sz w:val="24"/>
          <w:szCs w:val="24"/>
        </w:rPr>
      </w:pPr>
      <w:r w:rsidRPr="00AE5CD3">
        <w:rPr>
          <w:rFonts w:asciiTheme="majorHAnsi" w:hAnsiTheme="majorHAnsi"/>
          <w:b/>
          <w:color w:val="000000"/>
          <w:sz w:val="24"/>
          <w:szCs w:val="24"/>
        </w:rPr>
        <w:t>Трети прием:</w:t>
      </w:r>
      <w:r w:rsidRPr="00AE5CD3">
        <w:rPr>
          <w:rFonts w:asciiTheme="majorHAnsi" w:hAnsiTheme="majorHAnsi"/>
          <w:color w:val="000000"/>
          <w:sz w:val="24"/>
          <w:szCs w:val="24"/>
        </w:rPr>
        <w:t xml:space="preserve"> Ще се използват остатъчните средства, ако има такива, след приключване на </w:t>
      </w:r>
      <w:r w:rsidR="009C72E8" w:rsidRPr="00AE5CD3">
        <w:rPr>
          <w:rFonts w:asciiTheme="majorHAnsi" w:hAnsiTheme="majorHAnsi"/>
          <w:color w:val="000000"/>
          <w:sz w:val="24"/>
          <w:szCs w:val="24"/>
        </w:rPr>
        <w:t xml:space="preserve">първи и </w:t>
      </w:r>
      <w:r w:rsidRPr="00AE5CD3">
        <w:rPr>
          <w:rFonts w:asciiTheme="majorHAnsi" w:hAnsiTheme="majorHAnsi"/>
          <w:color w:val="000000"/>
          <w:sz w:val="24"/>
          <w:szCs w:val="24"/>
        </w:rPr>
        <w:t>втори прием</w:t>
      </w:r>
      <w:r w:rsidR="009C72E8" w:rsidRPr="00AE5CD3">
        <w:rPr>
          <w:rFonts w:asciiTheme="majorHAnsi" w:hAnsiTheme="majorHAnsi"/>
          <w:color w:val="000000"/>
          <w:sz w:val="24"/>
          <w:szCs w:val="24"/>
        </w:rPr>
        <w:t>и</w:t>
      </w:r>
      <w:r w:rsidR="00C2619A">
        <w:rPr>
          <w:rFonts w:asciiTheme="majorHAnsi" w:hAnsiTheme="majorHAnsi"/>
          <w:color w:val="000000"/>
          <w:sz w:val="24"/>
          <w:szCs w:val="24"/>
        </w:rPr>
        <w:t xml:space="preserve"> </w:t>
      </w:r>
      <w:r w:rsidR="006024A6">
        <w:rPr>
          <w:rFonts w:asciiTheme="majorHAnsi" w:hAnsiTheme="majorHAnsi"/>
          <w:color w:val="000000"/>
          <w:sz w:val="24"/>
          <w:szCs w:val="24"/>
        </w:rPr>
        <w:t>през 2019 г</w:t>
      </w:r>
      <w:r w:rsidRPr="00AE5CD3">
        <w:rPr>
          <w:rFonts w:asciiTheme="majorHAnsi" w:hAnsiTheme="majorHAnsi"/>
          <w:color w:val="000000"/>
          <w:sz w:val="24"/>
          <w:szCs w:val="24"/>
        </w:rPr>
        <w:t xml:space="preserve">. </w:t>
      </w:r>
    </w:p>
    <w:p w:rsidR="00F249F2" w:rsidRPr="00AE5CD3" w:rsidRDefault="00F249F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color w:val="000000"/>
          <w:sz w:val="24"/>
          <w:szCs w:val="24"/>
        </w:rPr>
      </w:pPr>
    </w:p>
    <w:p w:rsidR="005A1B22" w:rsidRPr="00AE5CD3" w:rsidRDefault="005A1B22" w:rsidP="008119B6">
      <w:pPr>
        <w:pStyle w:val="aa"/>
        <w:tabs>
          <w:tab w:val="left" w:pos="1095"/>
        </w:tabs>
        <w:spacing w:after="0" w:line="240" w:lineRule="auto"/>
        <w:ind w:left="0"/>
        <w:jc w:val="both"/>
        <w:rPr>
          <w:rFonts w:asciiTheme="majorHAnsi" w:hAnsiTheme="majorHAnsi"/>
          <w:b/>
          <w:sz w:val="24"/>
          <w:szCs w:val="24"/>
        </w:rPr>
      </w:pPr>
    </w:p>
    <w:p w:rsidR="005A1B22" w:rsidRPr="00AE5CD3" w:rsidRDefault="005A1B22" w:rsidP="008119B6">
      <w:pPr>
        <w:pStyle w:val="20"/>
        <w:spacing w:before="0" w:line="240" w:lineRule="auto"/>
        <w:rPr>
          <w:rFonts w:asciiTheme="majorHAnsi" w:hAnsiTheme="majorHAnsi"/>
        </w:rPr>
      </w:pPr>
      <w:bookmarkStart w:id="40" w:name="_Toc476823142"/>
      <w:bookmarkStart w:id="41" w:name="_Toc514333699"/>
      <w:bookmarkStart w:id="42" w:name="_Toc514334539"/>
      <w:bookmarkStart w:id="43" w:name="_Toc514334631"/>
      <w:r w:rsidRPr="00AE5CD3">
        <w:rPr>
          <w:rFonts w:asciiTheme="majorHAnsi" w:hAnsiTheme="majorHAnsi"/>
        </w:rPr>
        <w:t xml:space="preserve">9. Минимален и максимален размер на безвъзмездната финансова помощ </w:t>
      </w:r>
      <w:r w:rsidR="009C72E8" w:rsidRPr="00AE5CD3">
        <w:rPr>
          <w:rFonts w:asciiTheme="majorHAnsi" w:hAnsiTheme="majorHAnsi"/>
        </w:rPr>
        <w:t xml:space="preserve">(БФП) </w:t>
      </w:r>
      <w:r w:rsidRPr="00AE5CD3">
        <w:rPr>
          <w:rFonts w:asciiTheme="majorHAnsi" w:hAnsiTheme="majorHAnsi"/>
        </w:rPr>
        <w:t>за конкретен проект</w:t>
      </w:r>
      <w:bookmarkEnd w:id="40"/>
      <w:bookmarkEnd w:id="41"/>
      <w:bookmarkEnd w:id="42"/>
      <w:bookmarkEnd w:id="43"/>
    </w:p>
    <w:p w:rsidR="009C72E8" w:rsidRPr="00AE5CD3" w:rsidRDefault="009C72E8" w:rsidP="008119B6">
      <w:pPr>
        <w:pStyle w:val="Default"/>
        <w:pBdr>
          <w:top w:val="single" w:sz="4" w:space="1" w:color="auto"/>
          <w:left w:val="single" w:sz="4" w:space="4" w:color="auto"/>
          <w:bottom w:val="single" w:sz="4" w:space="1" w:color="auto"/>
          <w:right w:val="single" w:sz="4" w:space="4" w:color="auto"/>
        </w:pBdr>
        <w:jc w:val="both"/>
        <w:rPr>
          <w:rFonts w:asciiTheme="majorHAnsi" w:eastAsia="Times New Roman" w:hAnsiTheme="majorHAnsi"/>
          <w:color w:val="auto"/>
          <w:lang w:eastAsia="bg-BG"/>
        </w:rPr>
      </w:pPr>
      <w:r w:rsidRPr="00AE5CD3">
        <w:rPr>
          <w:rFonts w:asciiTheme="majorHAnsi" w:eastAsia="Times New Roman" w:hAnsiTheme="majorHAnsi"/>
          <w:color w:val="auto"/>
          <w:lang w:eastAsia="bg-BG"/>
        </w:rPr>
        <w:t xml:space="preserve">Минималният размер на БФП за проект по настоящата процедура е </w:t>
      </w:r>
      <w:r w:rsidRPr="00AE5CD3">
        <w:rPr>
          <w:rFonts w:asciiTheme="majorHAnsi" w:eastAsia="Times New Roman" w:hAnsiTheme="majorHAnsi"/>
          <w:b/>
          <w:color w:val="auto"/>
          <w:lang w:eastAsia="bg-BG"/>
        </w:rPr>
        <w:t>30</w:t>
      </w:r>
      <w:r w:rsidR="00AB3964" w:rsidRPr="00AE5CD3">
        <w:rPr>
          <w:rFonts w:asciiTheme="majorHAnsi" w:eastAsia="Times New Roman" w:hAnsiTheme="majorHAnsi"/>
          <w:b/>
          <w:color w:val="auto"/>
          <w:lang w:eastAsia="bg-BG"/>
        </w:rPr>
        <w:t> </w:t>
      </w:r>
      <w:r w:rsidRPr="00AE5CD3">
        <w:rPr>
          <w:rFonts w:asciiTheme="majorHAnsi" w:eastAsia="Times New Roman" w:hAnsiTheme="majorHAnsi"/>
          <w:b/>
          <w:color w:val="auto"/>
          <w:lang w:eastAsia="bg-BG"/>
        </w:rPr>
        <w:t>000</w:t>
      </w:r>
      <w:r w:rsidR="00AB3964" w:rsidRPr="00AE5CD3">
        <w:rPr>
          <w:rFonts w:asciiTheme="majorHAnsi" w:eastAsia="Times New Roman" w:hAnsiTheme="majorHAnsi"/>
          <w:b/>
          <w:color w:val="auto"/>
          <w:lang w:eastAsia="bg-BG"/>
        </w:rPr>
        <w:t>,</w:t>
      </w:r>
      <w:r w:rsidR="00FD56DB">
        <w:rPr>
          <w:rFonts w:asciiTheme="majorHAnsi" w:eastAsia="Times New Roman" w:hAnsiTheme="majorHAnsi"/>
          <w:b/>
          <w:color w:val="auto"/>
          <w:lang w:eastAsia="bg-BG"/>
        </w:rPr>
        <w:t xml:space="preserve"> 4</w:t>
      </w:r>
      <w:r w:rsidR="00BF62E8">
        <w:rPr>
          <w:rFonts w:asciiTheme="majorHAnsi" w:eastAsia="Times New Roman" w:hAnsiTheme="majorHAnsi"/>
          <w:b/>
          <w:color w:val="auto"/>
          <w:lang w:eastAsia="bg-BG"/>
        </w:rPr>
        <w:t>8</w:t>
      </w:r>
      <w:r w:rsidRPr="00AE5CD3">
        <w:rPr>
          <w:rFonts w:asciiTheme="majorHAnsi" w:eastAsia="Times New Roman" w:hAnsiTheme="majorHAnsi"/>
          <w:b/>
          <w:color w:val="auto"/>
          <w:lang w:eastAsia="bg-BG"/>
        </w:rPr>
        <w:t xml:space="preserve"> лв</w:t>
      </w:r>
      <w:r w:rsidR="007113BE">
        <w:rPr>
          <w:rFonts w:asciiTheme="majorHAnsi" w:eastAsia="Times New Roman" w:hAnsiTheme="majorHAnsi"/>
          <w:b/>
          <w:color w:val="auto"/>
          <w:lang w:eastAsia="bg-BG"/>
        </w:rPr>
        <w:t>.</w:t>
      </w:r>
      <w:r w:rsidR="002B6953">
        <w:rPr>
          <w:rFonts w:asciiTheme="majorHAnsi" w:eastAsia="Times New Roman" w:hAnsiTheme="majorHAnsi"/>
          <w:b/>
          <w:color w:val="auto"/>
          <w:lang w:eastAsia="bg-BG"/>
        </w:rPr>
        <w:t xml:space="preserve">, </w:t>
      </w:r>
      <w:r w:rsidR="002B6953">
        <w:rPr>
          <w:rFonts w:asciiTheme="majorHAnsi" w:eastAsia="Times New Roman" w:hAnsiTheme="majorHAnsi"/>
          <w:color w:val="auto"/>
          <w:lang w:eastAsia="bg-BG"/>
        </w:rPr>
        <w:t>а м</w:t>
      </w:r>
      <w:r w:rsidRPr="00AE5CD3">
        <w:rPr>
          <w:rFonts w:asciiTheme="majorHAnsi" w:eastAsia="Times New Roman" w:hAnsiTheme="majorHAnsi"/>
          <w:color w:val="auto"/>
          <w:lang w:eastAsia="bg-BG"/>
        </w:rPr>
        <w:t xml:space="preserve">инималният размер на допустимите разходи по проект е </w:t>
      </w:r>
      <w:r w:rsidRPr="00AE5CD3">
        <w:rPr>
          <w:rFonts w:asciiTheme="majorHAnsi" w:eastAsia="Times New Roman" w:hAnsiTheme="majorHAnsi"/>
          <w:b/>
          <w:color w:val="auto"/>
          <w:lang w:eastAsia="bg-BG"/>
        </w:rPr>
        <w:t>33 333,86 лв</w:t>
      </w:r>
      <w:r w:rsidR="002B6953">
        <w:rPr>
          <w:rFonts w:asciiTheme="majorHAnsi" w:eastAsia="Times New Roman" w:hAnsiTheme="majorHAnsi"/>
          <w:b/>
          <w:color w:val="auto"/>
          <w:lang w:eastAsia="bg-BG"/>
        </w:rPr>
        <w:t>.</w:t>
      </w:r>
    </w:p>
    <w:p w:rsidR="009C72E8" w:rsidRPr="00AE5CD3" w:rsidRDefault="009C72E8" w:rsidP="008119B6">
      <w:pPr>
        <w:pStyle w:val="Default"/>
        <w:pBdr>
          <w:top w:val="single" w:sz="4" w:space="1" w:color="auto"/>
          <w:left w:val="single" w:sz="4" w:space="4" w:color="auto"/>
          <w:bottom w:val="single" w:sz="4" w:space="1" w:color="auto"/>
          <w:right w:val="single" w:sz="4" w:space="4" w:color="auto"/>
        </w:pBdr>
        <w:jc w:val="both"/>
        <w:rPr>
          <w:rFonts w:asciiTheme="majorHAnsi" w:eastAsia="Times New Roman" w:hAnsiTheme="majorHAnsi"/>
          <w:color w:val="auto"/>
          <w:lang w:eastAsia="bg-BG"/>
        </w:rPr>
      </w:pPr>
      <w:r w:rsidRPr="00AE5CD3">
        <w:rPr>
          <w:rFonts w:asciiTheme="majorHAnsi" w:eastAsia="Times New Roman" w:hAnsiTheme="majorHAnsi"/>
          <w:color w:val="auto"/>
          <w:lang w:eastAsia="bg-BG"/>
        </w:rPr>
        <w:t xml:space="preserve">Максималният  размер на БФП за проект по настоящата процедура е </w:t>
      </w:r>
      <w:r w:rsidR="00AB3964" w:rsidRPr="00AE5CD3">
        <w:rPr>
          <w:rFonts w:asciiTheme="majorHAnsi" w:eastAsia="Times New Roman" w:hAnsiTheme="majorHAnsi"/>
          <w:b/>
          <w:color w:val="auto"/>
          <w:lang w:eastAsia="bg-BG"/>
        </w:rPr>
        <w:t>352 049,40</w:t>
      </w:r>
      <w:r w:rsidRPr="00AE5CD3">
        <w:rPr>
          <w:rFonts w:asciiTheme="majorHAnsi" w:eastAsia="Times New Roman" w:hAnsiTheme="majorHAnsi"/>
          <w:b/>
          <w:color w:val="auto"/>
          <w:lang w:eastAsia="bg-BG"/>
        </w:rPr>
        <w:t xml:space="preserve"> лв</w:t>
      </w:r>
      <w:r w:rsidR="007113BE">
        <w:rPr>
          <w:rFonts w:asciiTheme="majorHAnsi" w:eastAsia="Times New Roman" w:hAnsiTheme="majorHAnsi"/>
          <w:b/>
          <w:color w:val="auto"/>
          <w:lang w:eastAsia="bg-BG"/>
        </w:rPr>
        <w:t>.</w:t>
      </w:r>
      <w:r w:rsidR="002B6953">
        <w:rPr>
          <w:rFonts w:asciiTheme="majorHAnsi" w:eastAsia="Times New Roman" w:hAnsiTheme="majorHAnsi"/>
          <w:b/>
          <w:color w:val="auto"/>
          <w:lang w:eastAsia="bg-BG"/>
        </w:rPr>
        <w:t xml:space="preserve">, </w:t>
      </w:r>
      <w:r w:rsidR="002B6953">
        <w:rPr>
          <w:rFonts w:asciiTheme="majorHAnsi" w:eastAsia="Times New Roman" w:hAnsiTheme="majorHAnsi"/>
          <w:color w:val="auto"/>
          <w:lang w:eastAsia="bg-BG"/>
        </w:rPr>
        <w:t>а м</w:t>
      </w:r>
      <w:r w:rsidRPr="00AE5CD3">
        <w:rPr>
          <w:rFonts w:asciiTheme="majorHAnsi" w:eastAsia="Times New Roman" w:hAnsiTheme="majorHAnsi"/>
          <w:color w:val="auto"/>
          <w:lang w:eastAsia="bg-BG"/>
        </w:rPr>
        <w:t xml:space="preserve">аксималният  размер на допустимите разходи по проект е  </w:t>
      </w:r>
      <w:r w:rsidR="00AB3964" w:rsidRPr="00AE5CD3">
        <w:rPr>
          <w:rFonts w:asciiTheme="majorHAnsi" w:eastAsia="Times New Roman" w:hAnsiTheme="majorHAnsi"/>
          <w:b/>
          <w:color w:val="auto"/>
          <w:lang w:eastAsia="bg-BG"/>
        </w:rPr>
        <w:t>391</w:t>
      </w:r>
      <w:r w:rsidR="00276A38">
        <w:rPr>
          <w:rFonts w:asciiTheme="majorHAnsi" w:eastAsia="Times New Roman" w:hAnsiTheme="majorHAnsi"/>
          <w:b/>
          <w:color w:val="auto"/>
          <w:lang w:eastAsia="bg-BG"/>
        </w:rPr>
        <w:t xml:space="preserve"> </w:t>
      </w:r>
      <w:r w:rsidR="00AB3964" w:rsidRPr="00AE5CD3">
        <w:rPr>
          <w:rFonts w:asciiTheme="majorHAnsi" w:eastAsia="Times New Roman" w:hAnsiTheme="majorHAnsi"/>
          <w:b/>
          <w:color w:val="auto"/>
          <w:lang w:eastAsia="bg-BG"/>
        </w:rPr>
        <w:t>166,00</w:t>
      </w:r>
      <w:r w:rsidRPr="00AE5CD3">
        <w:rPr>
          <w:rFonts w:asciiTheme="majorHAnsi" w:eastAsia="Times New Roman" w:hAnsiTheme="majorHAnsi"/>
          <w:b/>
          <w:color w:val="auto"/>
          <w:lang w:eastAsia="bg-BG"/>
        </w:rPr>
        <w:t xml:space="preserve"> лв</w:t>
      </w:r>
      <w:r w:rsidR="007113BE">
        <w:rPr>
          <w:rFonts w:asciiTheme="majorHAnsi" w:eastAsia="Times New Roman" w:hAnsiTheme="majorHAnsi"/>
          <w:b/>
          <w:color w:val="auto"/>
          <w:lang w:eastAsia="bg-BG"/>
        </w:rPr>
        <w:t>.</w:t>
      </w:r>
    </w:p>
    <w:p w:rsidR="0048600C" w:rsidRDefault="0048600C"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Мярката ще се изпълнява в съответствие с правилата за минимална помощ по смисъла на Регламент (ЕС) № 1407/2013 на Комисията от 18 декември 2013 г. относно прилагането на членове 107 и 108 от Договора за функционирането на Европейския съюз към помощта </w:t>
      </w:r>
      <w:r w:rsidR="00094E1B">
        <w:rPr>
          <w:rFonts w:asciiTheme="majorHAnsi" w:hAnsiTheme="majorHAnsi"/>
          <w:lang w:val="bg-BG"/>
        </w:rPr>
        <w:t>de minimis</w:t>
      </w:r>
      <w:r w:rsidRPr="00AE5CD3">
        <w:rPr>
          <w:rFonts w:asciiTheme="majorHAnsi" w:hAnsiTheme="majorHAnsi"/>
          <w:lang w:val="bg-BG"/>
        </w:rPr>
        <w:t>, публикуван в Официален вестник на ЕС L 352 от 24.12.2013 г.</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Максималният размер на помощта по режим </w:t>
      </w:r>
      <w:r w:rsidR="00094E1B">
        <w:rPr>
          <w:rFonts w:asciiTheme="majorHAnsi" w:hAnsiTheme="majorHAnsi"/>
          <w:lang w:val="bg-BG"/>
        </w:rPr>
        <w:t>de minimis</w:t>
      </w:r>
      <w:r w:rsidRPr="00AE5CD3">
        <w:rPr>
          <w:rFonts w:asciiTheme="majorHAnsi" w:hAnsiTheme="majorHAnsi"/>
          <w:lang w:val="bg-BG"/>
        </w:rPr>
        <w:t xml:space="preserve">, за която се кандидатства, заедно с другите получени минимални помощи, не може да надхвърля левовата </w:t>
      </w:r>
      <w:r w:rsidRPr="00AE5CD3">
        <w:rPr>
          <w:rFonts w:asciiTheme="majorHAnsi" w:hAnsiTheme="majorHAnsi"/>
          <w:lang w:val="bg-BG"/>
        </w:rPr>
        <w:lastRenderedPageBreak/>
        <w:t xml:space="preserve">равностойност на 200 000 евро и съответно левовата равностойност на 100 000 евро, в случай на едно и също предприятие, което осъществява </w:t>
      </w:r>
      <w:r w:rsidR="00FC6F0B">
        <w:rPr>
          <w:rFonts w:asciiTheme="majorHAnsi" w:hAnsiTheme="majorHAnsi"/>
          <w:lang w:val="bg-BG"/>
        </w:rPr>
        <w:t xml:space="preserve">автомобилни </w:t>
      </w:r>
      <w:r w:rsidRPr="00AE5CD3">
        <w:rPr>
          <w:rFonts w:asciiTheme="majorHAnsi" w:hAnsiTheme="majorHAnsi"/>
          <w:lang w:val="bg-BG"/>
        </w:rPr>
        <w:t xml:space="preserve"> товарни превози за чужда сметка за период от три бюджетни години.</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предприятието кандидат;</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предприятията, с които предприятието кандидат образува „едно и също предприятие“ по смисъла на чл. 2, пар. 2 на Регламент (ЕС) № 1407/2013;</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1407/2013;</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 xml:space="preserve">предприятията, образуващи „едно и също предприятие“ с предприятието кандидат, които са се възползвали от помощ </w:t>
      </w:r>
      <w:r w:rsidR="00094E1B">
        <w:rPr>
          <w:rFonts w:asciiTheme="majorHAnsi" w:hAnsiTheme="majorHAnsi"/>
          <w:sz w:val="24"/>
          <w:szCs w:val="24"/>
        </w:rPr>
        <w:t>de minimis</w:t>
      </w:r>
      <w:r w:rsidRPr="00AE5CD3">
        <w:rPr>
          <w:rFonts w:asciiTheme="majorHAnsi" w:hAnsiTheme="majorHAnsi"/>
          <w:sz w:val="24"/>
          <w:szCs w:val="24"/>
        </w:rPr>
        <w:t>, получена преди разделяне или отделяне, съгласно чл. 3, пар. 9 от Регламент (ЕС) № 1407/2013.</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Праговете по режим </w:t>
      </w:r>
      <w:r w:rsidR="00094E1B">
        <w:rPr>
          <w:rFonts w:asciiTheme="majorHAnsi" w:hAnsiTheme="majorHAnsi"/>
          <w:lang w:val="bg-BG"/>
        </w:rPr>
        <w:t>de minimis</w:t>
      </w:r>
      <w:r w:rsidRPr="00AE5CD3">
        <w:rPr>
          <w:rFonts w:asciiTheme="majorHAnsi" w:hAnsiTheme="majorHAnsi"/>
          <w:lang w:val="bg-BG"/>
        </w:rPr>
        <w:t xml:space="preserve"> не могат да бъдат заобикаляни чрез изкуствено разделяне на проекти със сходни характеристики и бенефициенти. </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МИГ ще гарантира спазването на праговете, освен чрез изискването за попълване на Декларацията за минимални помощи и чрез проверка в Информационна система „Регистър на минималните помощи”, Публичния регистър на Европейската комисия</w:t>
      </w:r>
      <w:r w:rsidR="00276A38">
        <w:rPr>
          <w:rFonts w:asciiTheme="majorHAnsi" w:hAnsiTheme="majorHAnsi"/>
          <w:lang w:val="bg-BG"/>
        </w:rPr>
        <w:t xml:space="preserve"> </w:t>
      </w:r>
      <w:r w:rsidRPr="00AE5CD3">
        <w:rPr>
          <w:rFonts w:asciiTheme="majorHAnsi" w:hAnsiTheme="majorHAnsi"/>
          <w:lang w:val="bg-BG"/>
        </w:rPr>
        <w:t>и Информационната система за управление и наблюдение на Структурните инструменти на ЕС в България (ИСУН 2020).</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p>
    <w:p w:rsidR="008260E8"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b/>
          <w:lang w:val="bg-BG"/>
        </w:rPr>
        <w:t>ВАЖНО:</w:t>
      </w:r>
      <w:r w:rsidRPr="00AE5CD3">
        <w:rPr>
          <w:rFonts w:asciiTheme="majorHAnsi" w:hAnsiTheme="majorHAnsi"/>
          <w:lang w:val="bg-BG"/>
        </w:rPr>
        <w:t xml:space="preserve"> Преди сключване на административния договор за предоставяне на безвъзмездна финансова помощ, Управляващият орган ще извършва документална проверка на декларираните данни от одобрените кандидати в Декларацията за минимални помощи – </w:t>
      </w:r>
      <w:r w:rsidRPr="004777BF">
        <w:rPr>
          <w:rFonts w:asciiTheme="majorHAnsi" w:hAnsiTheme="majorHAnsi"/>
          <w:b/>
          <w:lang w:val="bg-BG"/>
        </w:rPr>
        <w:t>Приложени</w:t>
      </w:r>
      <w:r w:rsidR="002644DE" w:rsidRPr="004777BF">
        <w:rPr>
          <w:rFonts w:asciiTheme="majorHAnsi" w:hAnsiTheme="majorHAnsi"/>
          <w:b/>
          <w:lang w:val="bg-BG"/>
        </w:rPr>
        <w:t>я</w:t>
      </w:r>
      <w:r w:rsidR="007B74F1" w:rsidRPr="004777BF">
        <w:rPr>
          <w:rFonts w:asciiTheme="majorHAnsi" w:hAnsiTheme="majorHAnsi"/>
          <w:b/>
          <w:lang w:val="bg-BG"/>
        </w:rPr>
        <w:t xml:space="preserve"> Д</w:t>
      </w:r>
      <w:r w:rsidR="002644DE" w:rsidRPr="004777BF">
        <w:rPr>
          <w:rFonts w:asciiTheme="majorHAnsi" w:hAnsiTheme="majorHAnsi"/>
          <w:b/>
          <w:lang w:val="bg-BG"/>
        </w:rPr>
        <w:t xml:space="preserve">  и Д1</w:t>
      </w:r>
      <w:r w:rsidR="002644DE">
        <w:rPr>
          <w:rFonts w:asciiTheme="majorHAnsi" w:hAnsiTheme="majorHAnsi"/>
          <w:lang w:val="bg-BG"/>
        </w:rPr>
        <w:t xml:space="preserve"> (попълвани </w:t>
      </w:r>
      <w:r w:rsidRPr="00AE5CD3">
        <w:rPr>
          <w:rFonts w:asciiTheme="majorHAnsi" w:hAnsiTheme="majorHAnsi"/>
          <w:lang w:val="bg-BG"/>
        </w:rPr>
        <w:t>както на етап кандидатстване, така и преди сключване на административен договор</w:t>
      </w:r>
      <w:r w:rsidR="00AB3964" w:rsidRPr="00AE5CD3">
        <w:rPr>
          <w:rFonts w:asciiTheme="majorHAnsi" w:hAnsiTheme="majorHAnsi"/>
          <w:lang w:val="bg-BG"/>
        </w:rPr>
        <w:t>)</w:t>
      </w:r>
      <w:r w:rsidRPr="00AE5CD3">
        <w:rPr>
          <w:rFonts w:asciiTheme="majorHAnsi" w:hAnsiTheme="majorHAnsi"/>
          <w:lang w:val="bg-BG"/>
        </w:rPr>
        <w:t>.</w:t>
      </w:r>
    </w:p>
    <w:p w:rsidR="005A1B22" w:rsidRPr="00AE5CD3" w:rsidRDefault="005A1B22" w:rsidP="008119B6">
      <w:pPr>
        <w:pStyle w:val="afd"/>
        <w:rPr>
          <w:rFonts w:asciiTheme="majorHAnsi" w:hAnsiTheme="majorHAnsi"/>
          <w:lang w:val="bg-BG"/>
        </w:rPr>
      </w:pPr>
    </w:p>
    <w:p w:rsidR="005A1B22" w:rsidRPr="00AE5CD3" w:rsidRDefault="005A1B22" w:rsidP="008119B6">
      <w:pPr>
        <w:pStyle w:val="20"/>
        <w:spacing w:before="0" w:line="240" w:lineRule="auto"/>
        <w:rPr>
          <w:rFonts w:asciiTheme="majorHAnsi" w:hAnsiTheme="majorHAnsi"/>
        </w:rPr>
      </w:pPr>
      <w:bookmarkStart w:id="44" w:name="_Toc476823143"/>
      <w:bookmarkStart w:id="45" w:name="_Toc514333700"/>
      <w:bookmarkStart w:id="46" w:name="_Toc514334540"/>
      <w:bookmarkStart w:id="47" w:name="_Toc514334632"/>
      <w:r w:rsidRPr="00AE5CD3">
        <w:rPr>
          <w:rFonts w:asciiTheme="majorHAnsi" w:hAnsiTheme="majorHAnsi"/>
        </w:rPr>
        <w:t>10. Процент  на  съфинансиране</w:t>
      </w:r>
      <w:bookmarkEnd w:id="44"/>
      <w:bookmarkEnd w:id="45"/>
      <w:bookmarkEnd w:id="46"/>
      <w:bookmarkEnd w:id="47"/>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По настоящата процедура процентът на съфинансиране от Европейския фонд за регионално развитие (ЕФРР) е 85%</w:t>
      </w:r>
      <w:r w:rsidR="00FB3900" w:rsidRPr="00AE5CD3">
        <w:rPr>
          <w:rFonts w:asciiTheme="majorHAnsi" w:hAnsiTheme="majorHAnsi"/>
          <w:lang w:val="bg-BG"/>
        </w:rPr>
        <w:t>, а националното съфинансиране - 15%.</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p>
    <w:p w:rsidR="00AB3964" w:rsidRPr="00AE5CD3" w:rsidRDefault="00AB3964"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Максималният интензитет на БФП  по настоящата процедура  за подбор на проекти  е </w:t>
      </w:r>
      <w:r w:rsidRPr="00AE5CD3">
        <w:rPr>
          <w:rFonts w:asciiTheme="majorHAnsi" w:hAnsiTheme="majorHAnsi"/>
          <w:b/>
          <w:lang w:val="bg-BG"/>
        </w:rPr>
        <w:t>до 90 %</w:t>
      </w:r>
      <w:r w:rsidRPr="00AE5CD3">
        <w:rPr>
          <w:rFonts w:asciiTheme="majorHAnsi" w:hAnsiTheme="majorHAnsi"/>
          <w:lang w:val="bg-BG"/>
        </w:rPr>
        <w:t xml:space="preserve"> от общата стойност на допустимите разходи за всички категории предприятия.</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Кандидатът следва да заложи един и същ интензитет за </w:t>
      </w:r>
      <w:r w:rsidRPr="004777BF">
        <w:rPr>
          <w:rFonts w:asciiTheme="majorHAnsi" w:hAnsiTheme="majorHAnsi"/>
          <w:b/>
          <w:lang w:val="bg-BG"/>
        </w:rPr>
        <w:t>всички</w:t>
      </w:r>
      <w:r w:rsidRPr="00AE5CD3">
        <w:rPr>
          <w:rFonts w:asciiTheme="majorHAnsi" w:hAnsiTheme="majorHAnsi"/>
          <w:lang w:val="bg-BG"/>
        </w:rPr>
        <w:t xml:space="preserve"> разходи в проектното предложение.</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p>
    <w:p w:rsidR="005A1B22" w:rsidRPr="00AE5CD3" w:rsidRDefault="005266B4"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bCs/>
          <w:i/>
          <w:lang w:val="bg-BG"/>
        </w:rPr>
      </w:pPr>
      <w:r w:rsidRPr="00AE5CD3">
        <w:rPr>
          <w:rFonts w:asciiTheme="majorHAnsi" w:hAnsiTheme="majorHAnsi"/>
          <w:lang w:val="bg-BG"/>
        </w:rPr>
        <w:t xml:space="preserve">Забележка 1 : </w:t>
      </w:r>
      <w:r w:rsidR="005A1B22" w:rsidRPr="00AE5CD3">
        <w:rPr>
          <w:rFonts w:asciiTheme="majorHAnsi" w:hAnsiTheme="majorHAnsi"/>
          <w:i/>
          <w:lang w:val="bg-BG"/>
        </w:rPr>
        <w:t>За да се изчисли интензитетът на помощта, всички данни се представят в брутно изражение - преди приспадането на данъци и други такси. Помощите, които се предоставят на няколко части (</w:t>
      </w:r>
      <w:r w:rsidR="005A1B22" w:rsidRPr="00AE5CD3">
        <w:rPr>
          <w:rFonts w:asciiTheme="majorHAnsi" w:hAnsiTheme="majorHAnsi"/>
          <w:bCs/>
          <w:i/>
          <w:lang w:val="bg-BG"/>
        </w:rPr>
        <w:t>т.е. когато кандидатът предвижда да ползва авансово и/или междинно/и плащане/ия)</w:t>
      </w:r>
      <w:r w:rsidR="005A1B22" w:rsidRPr="00AE5CD3">
        <w:rPr>
          <w:rFonts w:asciiTheme="majorHAnsi" w:hAnsiTheme="majorHAnsi"/>
          <w:i/>
          <w:lang w:val="bg-BG"/>
        </w:rPr>
        <w:t xml:space="preserve">, се сконтират към техния размер към момента на предоставяне. </w:t>
      </w:r>
      <w:r w:rsidR="005A1B22" w:rsidRPr="00AE5CD3">
        <w:rPr>
          <w:rFonts w:asciiTheme="majorHAnsi" w:hAnsiTheme="majorHAnsi"/>
          <w:i/>
          <w:color w:val="000000"/>
          <w:lang w:val="bg-BG"/>
        </w:rPr>
        <w:t>Допустимите разходи се сконтират до тяхната стойност към момента на предоставяне на помощта</w:t>
      </w:r>
      <w:r w:rsidR="005A1B22" w:rsidRPr="00AE5CD3">
        <w:rPr>
          <w:rStyle w:val="ae"/>
          <w:rFonts w:asciiTheme="majorHAnsi" w:hAnsiTheme="majorHAnsi"/>
          <w:i/>
          <w:color w:val="000000"/>
          <w:lang w:val="bg-BG"/>
        </w:rPr>
        <w:footnoteReference w:id="4"/>
      </w:r>
      <w:r w:rsidR="005A1B22" w:rsidRPr="00AE5CD3">
        <w:rPr>
          <w:rFonts w:asciiTheme="majorHAnsi" w:hAnsiTheme="majorHAnsi"/>
          <w:i/>
          <w:color w:val="000000"/>
          <w:lang w:val="bg-BG"/>
        </w:rPr>
        <w:t>.</w:t>
      </w:r>
      <w:r w:rsidR="005A1B22" w:rsidRPr="00AE5CD3">
        <w:rPr>
          <w:rFonts w:asciiTheme="majorHAnsi" w:hAnsiTheme="majorHAnsi"/>
          <w:i/>
          <w:lang w:val="bg-BG"/>
        </w:rPr>
        <w:t xml:space="preserve">  Лихвеният процент, който се използва за сконтиране, е </w:t>
      </w:r>
      <w:r w:rsidR="005A1B22" w:rsidRPr="00AE5CD3">
        <w:rPr>
          <w:rFonts w:asciiTheme="majorHAnsi" w:hAnsiTheme="majorHAnsi"/>
          <w:i/>
          <w:lang w:val="bg-BG"/>
        </w:rPr>
        <w:lastRenderedPageBreak/>
        <w:t xml:space="preserve">сконтовият процент, приложим към момента на предоставяне на помощта, </w:t>
      </w:r>
      <w:r w:rsidR="005A1B22" w:rsidRPr="00AE5CD3">
        <w:rPr>
          <w:rFonts w:asciiTheme="majorHAnsi" w:hAnsiTheme="majorHAnsi"/>
          <w:bCs/>
          <w:i/>
          <w:lang w:val="bg-BG"/>
        </w:rPr>
        <w:t>в съответствие с  чл. 3, ал. 6 от Регламент (ЕС) № 1407/2013 на Комисията от 18 декември 2013 г. Интензитетът на безвъзмездната финансова помощ се изчислява чрез определяне на сконтираната стойност на помощта</w:t>
      </w:r>
      <w:r w:rsidR="005A1B22" w:rsidRPr="00AE5CD3">
        <w:rPr>
          <w:rFonts w:asciiTheme="majorHAnsi" w:hAnsiTheme="majorHAnsi"/>
          <w:bCs/>
          <w:lang w:val="bg-BG"/>
        </w:rPr>
        <w:t xml:space="preserve">, </w:t>
      </w:r>
      <w:r w:rsidR="005A1B22" w:rsidRPr="00AE5CD3">
        <w:rPr>
          <w:rFonts w:asciiTheme="majorHAnsi" w:hAnsiTheme="majorHAnsi"/>
          <w:bCs/>
          <w:i/>
          <w:lang w:val="bg-BG"/>
        </w:rPr>
        <w:t xml:space="preserve">изразена като процент от сконтираната стойност </w:t>
      </w:r>
      <w:r w:rsidR="001B5E1E" w:rsidRPr="00AE5CD3">
        <w:rPr>
          <w:rFonts w:asciiTheme="majorHAnsi" w:hAnsiTheme="majorHAnsi"/>
          <w:bCs/>
          <w:i/>
          <w:lang w:val="bg-BG"/>
        </w:rPr>
        <w:t>на допустимите</w:t>
      </w:r>
      <w:r w:rsidR="005A1B22" w:rsidRPr="00AE5CD3">
        <w:rPr>
          <w:rFonts w:asciiTheme="majorHAnsi" w:hAnsiTheme="majorHAnsi"/>
          <w:bCs/>
          <w:i/>
          <w:lang w:val="bg-BG"/>
        </w:rPr>
        <w:t xml:space="preserve"> разходи.</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bCs/>
          <w:lang w:val="bg-BG"/>
        </w:rPr>
      </w:pPr>
    </w:p>
    <w:p w:rsidR="005A1B22" w:rsidRPr="00AE5CD3" w:rsidRDefault="005266B4"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Забележка 2: </w:t>
      </w:r>
      <w:r w:rsidR="005A1B22" w:rsidRPr="00AE5CD3">
        <w:rPr>
          <w:rFonts w:asciiTheme="majorHAnsi" w:hAnsiTheme="majorHAnsi"/>
          <w:i/>
          <w:lang w:val="bg-BG"/>
        </w:rPr>
        <w:t>Остатъкът от общите допустими разходи по проекта, трябва да бъде съфинансиран чрез собствени средства на кандидата или със средства от външни източници, които средства изключват всякаква публична подкрепа</w:t>
      </w:r>
      <w:r w:rsidR="005A1B22" w:rsidRPr="00AE5CD3">
        <w:rPr>
          <w:rFonts w:asciiTheme="majorHAnsi" w:hAnsiTheme="majorHAnsi"/>
          <w:lang w:val="bg-BG"/>
        </w:rPr>
        <w:t>.</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p>
    <w:p w:rsidR="005A1B22" w:rsidRPr="00AE5CD3" w:rsidRDefault="005266B4"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Забележка 3: </w:t>
      </w:r>
      <w:r w:rsidR="005A1B22" w:rsidRPr="00AE5CD3">
        <w:rPr>
          <w:rFonts w:asciiTheme="majorHAnsi" w:hAnsiTheme="majorHAnsi"/>
          <w:i/>
          <w:lang w:val="bg-BG"/>
        </w:rPr>
        <w:t>Общият размер на помощта „</w:t>
      </w:r>
      <w:r w:rsidR="00094E1B">
        <w:rPr>
          <w:rFonts w:asciiTheme="majorHAnsi" w:hAnsiTheme="majorHAnsi"/>
          <w:i/>
          <w:lang w:val="bg-BG"/>
        </w:rPr>
        <w:t>de minimis</w:t>
      </w:r>
      <w:r w:rsidR="005A1B22" w:rsidRPr="00AE5CD3">
        <w:rPr>
          <w:rFonts w:asciiTheme="majorHAnsi" w:hAnsiTheme="majorHAnsi"/>
          <w:i/>
          <w:lang w:val="bg-BG"/>
        </w:rPr>
        <w:t>” не може да надхвърля праговете, посочени в т. 9 от Условията за кандидатстване.</w:t>
      </w:r>
      <w:bookmarkStart w:id="48" w:name="_Toc476823144"/>
    </w:p>
    <w:p w:rsidR="005A1B22" w:rsidRPr="00AE5CD3" w:rsidRDefault="005A1B22" w:rsidP="008119B6">
      <w:pPr>
        <w:pStyle w:val="20"/>
        <w:spacing w:before="0" w:line="240" w:lineRule="auto"/>
        <w:rPr>
          <w:rFonts w:asciiTheme="majorHAnsi" w:hAnsiTheme="majorHAnsi"/>
        </w:rPr>
      </w:pPr>
    </w:p>
    <w:p w:rsidR="005A1B22" w:rsidRPr="00AE5CD3" w:rsidRDefault="005A1B22" w:rsidP="008119B6">
      <w:pPr>
        <w:pStyle w:val="20"/>
        <w:spacing w:before="0" w:line="240" w:lineRule="auto"/>
        <w:rPr>
          <w:rFonts w:asciiTheme="majorHAnsi" w:hAnsiTheme="majorHAnsi"/>
        </w:rPr>
      </w:pPr>
      <w:bookmarkStart w:id="49" w:name="_Toc514333701"/>
      <w:bookmarkStart w:id="50" w:name="_Toc514334541"/>
      <w:bookmarkStart w:id="51" w:name="_Toc514334633"/>
      <w:r w:rsidRPr="00AE5CD3">
        <w:rPr>
          <w:rFonts w:asciiTheme="majorHAnsi" w:hAnsiTheme="majorHAnsi"/>
        </w:rPr>
        <w:t>11. Допустими кандидати</w:t>
      </w:r>
      <w:bookmarkEnd w:id="48"/>
      <w:bookmarkEnd w:id="49"/>
      <w:bookmarkEnd w:id="50"/>
      <w:bookmarkEnd w:id="51"/>
    </w:p>
    <w:p w:rsidR="005A1B22" w:rsidRPr="00AE5CD3" w:rsidRDefault="005A1B22" w:rsidP="008119B6">
      <w:pPr>
        <w:pStyle w:val="30"/>
        <w:spacing w:before="0" w:line="240" w:lineRule="auto"/>
        <w:rPr>
          <w:rFonts w:asciiTheme="majorHAnsi" w:hAnsiTheme="majorHAnsi"/>
          <w:sz w:val="26"/>
          <w:szCs w:val="26"/>
        </w:rPr>
      </w:pPr>
      <w:bookmarkStart w:id="52" w:name="_Toc476823145"/>
      <w:bookmarkStart w:id="53" w:name="_Toc514333702"/>
      <w:bookmarkStart w:id="54" w:name="_Toc514334542"/>
      <w:bookmarkStart w:id="55" w:name="_Toc514334634"/>
      <w:bookmarkStart w:id="56" w:name="_Toc476823146"/>
      <w:r w:rsidRPr="00AE5CD3">
        <w:rPr>
          <w:rFonts w:asciiTheme="majorHAnsi" w:hAnsiTheme="majorHAnsi"/>
          <w:sz w:val="26"/>
          <w:szCs w:val="26"/>
        </w:rPr>
        <w:t>11.1. Критерии за допустимост на кандидатите</w:t>
      </w:r>
      <w:bookmarkEnd w:id="52"/>
      <w:bookmarkEnd w:id="53"/>
      <w:bookmarkEnd w:id="54"/>
      <w:bookmarkEnd w:id="55"/>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Допустими по настоящата процедура за подбор на проекти са само кандидати, които отговарят на следните критерии: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i/>
          <w:sz w:val="24"/>
          <w:szCs w:val="24"/>
        </w:rPr>
      </w:pPr>
      <w:r w:rsidRPr="00AE5CD3">
        <w:rPr>
          <w:rFonts w:asciiTheme="majorHAnsi" w:eastAsia="Times New Roman" w:hAnsiTheme="majorHAnsi"/>
          <w:b/>
          <w:i/>
          <w:sz w:val="24"/>
          <w:szCs w:val="24"/>
          <w:lang w:eastAsia="bg-BG"/>
        </w:rPr>
        <w:t>1. Общи задължителни критерии за допустимост на кандидатите по мярката:</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1.1</w:t>
      </w:r>
      <w:r w:rsidR="004777BF">
        <w:rPr>
          <w:rFonts w:asciiTheme="majorHAnsi" w:hAnsiTheme="majorHAnsi"/>
          <w:b/>
          <w:sz w:val="24"/>
          <w:szCs w:val="24"/>
        </w:rPr>
        <w:t xml:space="preserve"> </w:t>
      </w:r>
      <w:r w:rsidRPr="00AE5CD3">
        <w:rPr>
          <w:rFonts w:asciiTheme="majorHAnsi" w:hAnsiTheme="majorHAnsi"/>
          <w:color w:val="000000"/>
          <w:sz w:val="24"/>
          <w:szCs w:val="24"/>
        </w:rPr>
        <w:t>Да имат седалище</w:t>
      </w:r>
      <w:r w:rsidR="004777BF">
        <w:rPr>
          <w:rFonts w:asciiTheme="majorHAnsi" w:hAnsiTheme="majorHAnsi"/>
          <w:color w:val="000000"/>
          <w:sz w:val="24"/>
          <w:szCs w:val="24"/>
        </w:rPr>
        <w:t xml:space="preserve"> </w:t>
      </w:r>
      <w:r w:rsidRPr="00AE5CD3">
        <w:rPr>
          <w:rFonts w:asciiTheme="majorHAnsi" w:hAnsiTheme="majorHAnsi"/>
          <w:sz w:val="24"/>
          <w:szCs w:val="24"/>
        </w:rPr>
        <w:t xml:space="preserve">и адрес на управление на територията на действие на МИГ </w:t>
      </w:r>
      <w:r w:rsidR="005266B4" w:rsidRPr="00AE5CD3">
        <w:rPr>
          <w:rFonts w:asciiTheme="majorHAnsi" w:hAnsiTheme="majorHAnsi"/>
          <w:sz w:val="24"/>
          <w:szCs w:val="24"/>
        </w:rPr>
        <w:t>Кирково-Златоград</w:t>
      </w:r>
      <w:r w:rsidRPr="00AE5CD3">
        <w:rPr>
          <w:rFonts w:asciiTheme="majorHAnsi" w:hAnsiTheme="majorHAnsi"/>
          <w:sz w:val="24"/>
          <w:szCs w:val="24"/>
        </w:rPr>
        <w:t xml:space="preserve"> и осъществяват дейностите по проекта на </w:t>
      </w:r>
      <w:r w:rsidR="005266B4" w:rsidRPr="00AE5CD3">
        <w:rPr>
          <w:rFonts w:asciiTheme="majorHAnsi" w:hAnsiTheme="majorHAnsi"/>
          <w:sz w:val="24"/>
          <w:szCs w:val="24"/>
        </w:rPr>
        <w:t xml:space="preserve">същата </w:t>
      </w:r>
      <w:r w:rsidRPr="00AE5CD3">
        <w:rPr>
          <w:rFonts w:asciiTheme="majorHAnsi" w:hAnsiTheme="majorHAnsi"/>
          <w:sz w:val="24"/>
          <w:szCs w:val="24"/>
        </w:rPr>
        <w:t>територия</w:t>
      </w:r>
      <w:r w:rsidR="005266B4" w:rsidRPr="00AE5CD3">
        <w:rPr>
          <w:rFonts w:asciiTheme="majorHAnsi" w:hAnsiTheme="majorHAnsi"/>
          <w:sz w:val="24"/>
          <w:szCs w:val="24"/>
        </w:rPr>
        <w:t>.</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1.2</w:t>
      </w:r>
      <w:r w:rsidRPr="00AE5CD3">
        <w:rPr>
          <w:rFonts w:asciiTheme="majorHAnsi" w:hAnsiTheme="majorHAnsi"/>
          <w:sz w:val="24"/>
          <w:szCs w:val="24"/>
        </w:rPr>
        <w:t xml:space="preserve"> Да са търговци по смисъла на Търговския закон или Закона за кооперациите.</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1.3</w:t>
      </w:r>
      <w:r w:rsidRPr="00AE5CD3">
        <w:rPr>
          <w:rFonts w:asciiTheme="majorHAnsi" w:hAnsiTheme="majorHAnsi"/>
          <w:sz w:val="24"/>
          <w:szCs w:val="24"/>
        </w:rPr>
        <w:t xml:space="preserve"> Да отговарят на изискванията за малко или средно предприятие</w:t>
      </w:r>
      <w:r w:rsidR="005266B4" w:rsidRPr="00AE5CD3">
        <w:rPr>
          <w:rFonts w:asciiTheme="majorHAnsi" w:hAnsiTheme="majorHAnsi"/>
          <w:sz w:val="24"/>
          <w:szCs w:val="24"/>
        </w:rPr>
        <w:t>,</w:t>
      </w:r>
      <w:r w:rsidRPr="00AE5CD3">
        <w:rPr>
          <w:rFonts w:asciiTheme="majorHAnsi" w:hAnsiTheme="majorHAnsi"/>
          <w:sz w:val="24"/>
          <w:szCs w:val="24"/>
        </w:rPr>
        <w:t xml:space="preserve"> съгласно Закона за малките и средни предприятия (ЗМСП). </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b/>
          <w:sz w:val="24"/>
          <w:szCs w:val="24"/>
        </w:rPr>
      </w:pPr>
      <w:r w:rsidRPr="00AE5CD3">
        <w:rPr>
          <w:rFonts w:asciiTheme="majorHAnsi" w:hAnsiTheme="majorHAnsi"/>
          <w:b/>
          <w:sz w:val="24"/>
          <w:szCs w:val="24"/>
        </w:rPr>
        <w:t>ВАЖНО:</w:t>
      </w:r>
      <w:r w:rsidRPr="00AE5CD3">
        <w:rPr>
          <w:rFonts w:asciiTheme="majorHAnsi" w:hAnsiTheme="majorHAnsi"/>
          <w:sz w:val="24"/>
          <w:szCs w:val="24"/>
        </w:rPr>
        <w:t xml:space="preserve"> Кандидатите следва да удостоверят на етап кандидатстване, че са малко или средно предприятие по смисъла на ЗМСП, като попълнят и представят към проектните предложения Декларация за обстоятелствата по чл. 3 и чл. 4 от ЗМСП</w:t>
      </w:r>
      <w:r w:rsidR="00AE3EEB">
        <w:rPr>
          <w:rFonts w:asciiTheme="majorHAnsi" w:hAnsiTheme="majorHAnsi"/>
          <w:sz w:val="24"/>
          <w:szCs w:val="24"/>
        </w:rPr>
        <w:t xml:space="preserve"> (</w:t>
      </w:r>
      <w:r w:rsidR="00AE3EEB" w:rsidRPr="004777BF">
        <w:rPr>
          <w:rFonts w:asciiTheme="majorHAnsi" w:hAnsiTheme="majorHAnsi"/>
          <w:b/>
          <w:sz w:val="24"/>
          <w:szCs w:val="24"/>
        </w:rPr>
        <w:t>Приложение Е</w:t>
      </w:r>
      <w:r w:rsidR="00AE3EEB">
        <w:rPr>
          <w:rFonts w:asciiTheme="majorHAnsi" w:hAnsiTheme="majorHAnsi"/>
          <w:sz w:val="24"/>
          <w:szCs w:val="24"/>
        </w:rPr>
        <w:t xml:space="preserve">, </w:t>
      </w:r>
      <w:r w:rsidR="00AE3EEB" w:rsidRPr="004777BF">
        <w:rPr>
          <w:rFonts w:asciiTheme="majorHAnsi" w:hAnsiTheme="majorHAnsi"/>
          <w:b/>
          <w:sz w:val="24"/>
          <w:szCs w:val="24"/>
        </w:rPr>
        <w:t>Е1)</w:t>
      </w:r>
      <w:r w:rsidRPr="004777BF">
        <w:rPr>
          <w:rFonts w:asciiTheme="majorHAnsi" w:hAnsiTheme="majorHAnsi"/>
          <w:b/>
          <w:sz w:val="24"/>
          <w:szCs w:val="24"/>
        </w:rPr>
        <w:t>.</w:t>
      </w:r>
      <w:r w:rsidRPr="00AE5CD3">
        <w:rPr>
          <w:rFonts w:asciiTheme="majorHAnsi" w:hAnsiTheme="majorHAnsi"/>
          <w:sz w:val="24"/>
          <w:szCs w:val="24"/>
        </w:rPr>
        <w:t xml:space="preserve"> Преди сключване на Административен договор за предоставяне на безвъзмездна финансова помощ, Управляващият орган извършва документална проверка на декларираната от одобрените кандидати на етап кандидатстване категория на малко или средно предприятие. В случай че бъде установена погрешно декларирана категория, извън допустимите, ще бъде издадено Решение за отказ за предоставяне на безвъзмездна финансова помощ за съответния кандидат</w:t>
      </w:r>
      <w:r w:rsidRPr="00AE5CD3">
        <w:rPr>
          <w:rFonts w:asciiTheme="majorHAnsi" w:hAnsiTheme="majorHAnsi"/>
          <w:b/>
          <w:sz w:val="24"/>
          <w:szCs w:val="24"/>
        </w:rPr>
        <w:t>.</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1.4</w:t>
      </w:r>
      <w:r w:rsidRPr="00AE5CD3">
        <w:rPr>
          <w:rFonts w:asciiTheme="majorHAnsi" w:hAnsiTheme="majorHAnsi"/>
          <w:sz w:val="24"/>
          <w:szCs w:val="24"/>
        </w:rPr>
        <w:t xml:space="preserve"> Кандидати могат да участват в процедурата за подбор на проекти и да получат безвъзмездна финансова помощ, в случай че не попадат в забранителните режими на Регламент (ЕС) № 1407/2013 на Комисията от 18 декември 2013 г.</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1.5</w:t>
      </w:r>
      <w:r w:rsidRPr="00AE5CD3">
        <w:rPr>
          <w:rFonts w:asciiTheme="majorHAnsi" w:hAnsiTheme="majorHAnsi"/>
          <w:sz w:val="24"/>
          <w:szCs w:val="24"/>
        </w:rPr>
        <w:t xml:space="preserve"> Кандидати могат да участват в процедурата за подбор на проекти и да получат безвъзмездна финансова помощ, в случай че не са недопустими кандидати, съобразно демаркационната линия с други планове и програми, финансирани със средства на ЕС.</w:t>
      </w:r>
    </w:p>
    <w:p w:rsidR="00291378" w:rsidRPr="00AE5CD3" w:rsidRDefault="00291378"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p>
    <w:p w:rsidR="00291378" w:rsidRPr="00AE5CD3" w:rsidRDefault="006A2F39"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Pr>
          <w:rFonts w:asciiTheme="majorHAnsi" w:hAnsiTheme="majorHAnsi"/>
          <w:sz w:val="24"/>
          <w:szCs w:val="24"/>
        </w:rPr>
        <w:t xml:space="preserve">ВАЖНО!: </w:t>
      </w:r>
      <w:r w:rsidR="00291378" w:rsidRPr="00AE5CD3">
        <w:rPr>
          <w:rFonts w:asciiTheme="majorHAnsi" w:hAnsiTheme="majorHAnsi"/>
          <w:sz w:val="24"/>
          <w:szCs w:val="24"/>
        </w:rPr>
        <w:t>Клонове на юридически лица, регистрирани в България, не могат да участват в процедурата за подбор на проекти поради липсата на самостоятелна правосубектност.</w:t>
      </w:r>
    </w:p>
    <w:p w:rsidR="00291378" w:rsidRPr="00AE5CD3" w:rsidRDefault="00291378"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eastAsia="Times New Roman" w:hAnsiTheme="majorHAnsi"/>
          <w:b/>
          <w:i/>
          <w:color w:val="000000"/>
          <w:sz w:val="24"/>
          <w:szCs w:val="24"/>
        </w:rPr>
      </w:pPr>
      <w:r w:rsidRPr="00AE5CD3">
        <w:rPr>
          <w:rFonts w:asciiTheme="majorHAnsi" w:eastAsia="Times New Roman" w:hAnsiTheme="majorHAnsi"/>
          <w:b/>
          <w:i/>
          <w:color w:val="000000"/>
          <w:sz w:val="24"/>
        </w:rPr>
        <w:t>2.</w:t>
      </w:r>
      <w:r w:rsidRPr="00AE5CD3">
        <w:rPr>
          <w:rFonts w:asciiTheme="majorHAnsi" w:eastAsia="Times New Roman" w:hAnsiTheme="majorHAnsi"/>
          <w:b/>
          <w:i/>
          <w:color w:val="000000"/>
          <w:sz w:val="24"/>
          <w:szCs w:val="24"/>
        </w:rPr>
        <w:t xml:space="preserve">Задължителни критерии за допустимост на кандидатите по мярката по приоритетна ос 2 „Предприемачество и капацитет за растеж на МСП“ в изпълнение на подхода ВОМР– Процедура МИГ </w:t>
      </w:r>
      <w:r w:rsidR="00291378" w:rsidRPr="00AE5CD3">
        <w:rPr>
          <w:rFonts w:asciiTheme="majorHAnsi" w:eastAsia="Times New Roman" w:hAnsiTheme="majorHAnsi"/>
          <w:b/>
          <w:i/>
          <w:color w:val="000000"/>
          <w:sz w:val="24"/>
          <w:szCs w:val="24"/>
        </w:rPr>
        <w:t>Кирково-Златоград</w:t>
      </w:r>
      <w:r w:rsidRPr="00AE5CD3">
        <w:rPr>
          <w:rFonts w:asciiTheme="majorHAnsi" w:eastAsia="Times New Roman" w:hAnsiTheme="majorHAnsi"/>
          <w:b/>
          <w:i/>
          <w:color w:val="000000"/>
          <w:sz w:val="24"/>
          <w:szCs w:val="24"/>
        </w:rPr>
        <w:t xml:space="preserve"> „Подобряване на </w:t>
      </w:r>
      <w:r w:rsidRPr="00AE5CD3">
        <w:rPr>
          <w:rFonts w:asciiTheme="majorHAnsi" w:eastAsia="Times New Roman" w:hAnsiTheme="majorHAnsi"/>
          <w:b/>
          <w:i/>
          <w:color w:val="000000"/>
          <w:sz w:val="24"/>
          <w:szCs w:val="24"/>
        </w:rPr>
        <w:lastRenderedPageBreak/>
        <w:t xml:space="preserve">производствения капацитет на МСП на територията на МИГ </w:t>
      </w:r>
      <w:r w:rsidR="00291378" w:rsidRPr="00AE5CD3">
        <w:rPr>
          <w:rFonts w:asciiTheme="majorHAnsi" w:eastAsia="Times New Roman" w:hAnsiTheme="majorHAnsi"/>
          <w:b/>
          <w:i/>
          <w:color w:val="000000"/>
          <w:sz w:val="24"/>
          <w:szCs w:val="24"/>
        </w:rPr>
        <w:t>Кирково-Златоград</w:t>
      </w:r>
      <w:r w:rsidRPr="00AE5CD3">
        <w:rPr>
          <w:rFonts w:asciiTheme="majorHAnsi" w:eastAsia="Times New Roman" w:hAnsiTheme="majorHAnsi"/>
          <w:b/>
          <w:i/>
          <w:color w:val="000000"/>
          <w:sz w:val="24"/>
          <w:szCs w:val="24"/>
        </w:rPr>
        <w:t>”.</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eastAsia="Times New Roman" w:hAnsiTheme="majorHAnsi"/>
          <w:color w:val="000000"/>
          <w:sz w:val="24"/>
          <w:szCs w:val="24"/>
        </w:rPr>
      </w:pPr>
      <w:r w:rsidRPr="00AE5CD3">
        <w:rPr>
          <w:rFonts w:asciiTheme="majorHAnsi" w:eastAsia="Times New Roman" w:hAnsiTheme="majorHAnsi"/>
          <w:b/>
          <w:color w:val="000000"/>
          <w:sz w:val="24"/>
          <w:szCs w:val="24"/>
        </w:rPr>
        <w:t>2.1 Общи задължителни критерии за допустимост на кандидатите по избраните мерки в одобрената стратегия за местно развитие по приоритетна ос 2 „Предприемачество и капацитет за растеж на МСП“ в изпълнение на подхода ВОМР“:</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Подкрепят се само МСП, които оперират в определените за съответния инвестиционен приоритет сектори на икономическа дейност съгласно Националната стратегия за насърчаване на малките и средните предприятия 2014-2020 (НСНМСП), както следва: </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Високотехнологични и средно високотехнологични  промишлени производства:</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С20 „Производство на химични продукти“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C21 „Производството на лекарствени вещества и продукти“ </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C26 „Производството на компютърна и комуникационна техника, електронни и оптични продукти“ </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С27 „Производство на електрически съоръжения“</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С28 „Производство на машини и оборудване, с общо и специално предназначение</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С29 „Производство на автомобили, ремаркета и полуремаркета“</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С30 „Производство на превозни средства, без автомобили“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Интензивни на знание услуги: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J58 „Издателска дейност“</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J59 „Производството на филми и телевизионни предавания, звукозаписване и издаване на музика“ </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J60 „Радио- и телевизионна дейност“ </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J61 „Далекосъобщения“</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J62 „Дейности в областта на информационните технологии“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J63 „Информационни услуги“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М72 „Научноизследователска и развойна дейност“</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Нискотехнологични и средно нискотехнологични  промишлени производства:</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С10 „Производство на хранителни продукти“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С11 „Производство на напитки“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С13 „Производство на текстил и изделия от текстил, без облекло“</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С14 „Производство на облекло“</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С15 „Обработка на кожи; производство на обувки и други изделия от обработени кожи без косъм“</w:t>
      </w:r>
    </w:p>
    <w:p w:rsidR="005A1B22"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С16 „Производство на дървен материал и изделия от дървен материал и корк, без мебели; производство на изделия от слама и материали за плетене“</w:t>
      </w:r>
    </w:p>
    <w:p w:rsidR="00FA218C" w:rsidRPr="00276A38" w:rsidRDefault="00FA218C" w:rsidP="00276A38">
      <w:pPr>
        <w:pStyle w:val="aa"/>
        <w:pBdr>
          <w:top w:val="single" w:sz="4" w:space="1" w:color="auto"/>
          <w:left w:val="single" w:sz="4" w:space="4" w:color="auto"/>
          <w:bottom w:val="single" w:sz="4" w:space="1" w:color="auto"/>
          <w:right w:val="single" w:sz="4" w:space="4" w:color="auto"/>
        </w:pBdr>
        <w:spacing w:after="360" w:line="240" w:lineRule="auto"/>
        <w:ind w:left="0" w:firstLine="426"/>
        <w:jc w:val="both"/>
        <w:rPr>
          <w:rFonts w:asciiTheme="majorHAnsi" w:hAnsiTheme="majorHAnsi"/>
          <w:i/>
          <w:szCs w:val="24"/>
        </w:rPr>
      </w:pPr>
      <w:r w:rsidRPr="00276A38">
        <w:rPr>
          <w:rFonts w:asciiTheme="majorHAnsi" w:hAnsiTheme="majorHAnsi"/>
          <w:b/>
          <w:i/>
          <w:szCs w:val="24"/>
        </w:rPr>
        <w:t>ВАЖНО</w:t>
      </w:r>
      <w:r w:rsidRPr="00276A38">
        <w:rPr>
          <w:rFonts w:asciiTheme="majorHAnsi" w:hAnsiTheme="majorHAnsi"/>
          <w:i/>
          <w:szCs w:val="24"/>
        </w:rPr>
        <w:t>: Производството на пелети (което е част от код С16.29) е недопустимо по настоящата процедура, с изключение на пелети</w:t>
      </w:r>
      <w:r w:rsidR="00C86C52" w:rsidRPr="00276A38">
        <w:rPr>
          <w:rFonts w:asciiTheme="majorHAnsi" w:hAnsiTheme="majorHAnsi"/>
          <w:i/>
          <w:szCs w:val="24"/>
        </w:rPr>
        <w:t>,</w:t>
      </w:r>
      <w:r w:rsidRPr="00276A38">
        <w:rPr>
          <w:rFonts w:asciiTheme="majorHAnsi" w:hAnsiTheme="majorHAnsi"/>
          <w:i/>
          <w:szCs w:val="24"/>
        </w:rPr>
        <w:t xml:space="preserve"> получени от индустриалната преработка на дървесина. Производството на дърва за горене, изделия от корк, слама и материали за плетене (което също е част от код С16.29) е недопустимо по настоящата процедура</w:t>
      </w:r>
      <w:r w:rsidR="003700D7" w:rsidRPr="00276A38">
        <w:rPr>
          <w:rFonts w:asciiTheme="majorHAnsi" w:hAnsiTheme="majorHAnsi"/>
          <w:i/>
          <w:szCs w:val="24"/>
        </w:rPr>
        <w:t xml:space="preserve">. </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С17 „Производство на хартия, картон и изделия от хартия и картон“</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С18 „Печатна дейност и възпроизвеждане на записани носители“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С19 „Производство на кокс и рафинирани нефтопродукти“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С22 „Производство на изделия от каучук и пластмаси“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С23 „Производство на изделия от други неметални минерални суровини“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С24 „Производство на основни метали“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С25 „Производство на метални изделия, без машини и оборудване“</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С31 „Производство на мебели“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С32 „Производство, некласифицирано другаде“</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С33 „Ремонт и инсталиране на машини и оборудване“</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lastRenderedPageBreak/>
        <w:t xml:space="preserve">За да удостоверят, че осъществяват основната си икономическа дейност в горепосочените допустими сектори, кандидатите следва да представят към проектните предложения актуално Удостоверение за код на основната икономическа дейност, издадено от Националния статистически институт </w:t>
      </w:r>
      <w:r w:rsidR="00396A03" w:rsidRPr="00AE5CD3">
        <w:rPr>
          <w:rFonts w:asciiTheme="majorHAnsi" w:hAnsiTheme="majorHAnsi"/>
          <w:sz w:val="24"/>
          <w:szCs w:val="24"/>
        </w:rPr>
        <w:t xml:space="preserve">на основа на данни за годината, предхождаща годината на кандидатстване. </w:t>
      </w:r>
      <w:r w:rsidRPr="00AE5CD3">
        <w:rPr>
          <w:rFonts w:asciiTheme="majorHAnsi" w:hAnsiTheme="majorHAnsi"/>
          <w:sz w:val="24"/>
          <w:szCs w:val="24"/>
        </w:rPr>
        <w:t>За определяне на допустимостта съгласно посочения критерий се използва Класификация на икономическите дейности (КИД-2008). Допълнително, при определяне на допустимостта съгласно посочения критерий, кандидатите следва да се съобразят с изрично посочените в т. 11.2 недопустими сектори.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eastAsia="Times New Roman" w:hAnsiTheme="majorHAnsi"/>
          <w:sz w:val="24"/>
          <w:szCs w:val="24"/>
          <w:lang w:eastAsia="bg-BG"/>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eastAsia="Times New Roman" w:hAnsiTheme="majorHAnsi"/>
          <w:sz w:val="24"/>
          <w:szCs w:val="24"/>
          <w:lang w:eastAsia="bg-BG"/>
        </w:rPr>
      </w:pPr>
      <w:r w:rsidRPr="00AE5CD3">
        <w:rPr>
          <w:rFonts w:asciiTheme="majorHAnsi" w:eastAsia="Times New Roman" w:hAnsiTheme="majorHAnsi"/>
          <w:b/>
          <w:sz w:val="24"/>
          <w:szCs w:val="24"/>
          <w:lang w:eastAsia="bg-BG"/>
        </w:rPr>
        <w:t xml:space="preserve">2.2 По Инвестиционен приоритет 2.2 „Капацитет за растеж на МСП“ допустими за подпомагани са съществуващи МСП, които извършват своята дейност в секторите, определени в </w:t>
      </w:r>
      <w:r w:rsidR="00BE0C60" w:rsidRPr="00AE5CD3">
        <w:rPr>
          <w:rFonts w:asciiTheme="majorHAnsi" w:hAnsiTheme="majorHAnsi"/>
          <w:b/>
          <w:sz w:val="24"/>
          <w:szCs w:val="24"/>
        </w:rPr>
        <w:t xml:space="preserve">Националната стратегия за насърчаване на малките и средните предприятия 2014-2020 </w:t>
      </w:r>
      <w:r w:rsidR="00BE0C60" w:rsidRPr="00AE5CD3">
        <w:rPr>
          <w:rFonts w:asciiTheme="majorHAnsi" w:eastAsia="Times New Roman" w:hAnsiTheme="majorHAnsi"/>
          <w:b/>
          <w:sz w:val="24"/>
          <w:szCs w:val="24"/>
          <w:lang w:eastAsia="bg-BG"/>
        </w:rPr>
        <w:t>(</w:t>
      </w:r>
      <w:r w:rsidRPr="00AE5CD3">
        <w:rPr>
          <w:rFonts w:asciiTheme="majorHAnsi" w:eastAsia="Times New Roman" w:hAnsiTheme="majorHAnsi"/>
          <w:b/>
          <w:sz w:val="24"/>
          <w:szCs w:val="24"/>
          <w:lang w:eastAsia="bg-BG"/>
        </w:rPr>
        <w:t>НСНМСП</w:t>
      </w:r>
      <w:r w:rsidR="00BE0C60" w:rsidRPr="00AE5CD3">
        <w:rPr>
          <w:rFonts w:asciiTheme="majorHAnsi" w:eastAsia="Times New Roman" w:hAnsiTheme="majorHAnsi"/>
          <w:b/>
          <w:sz w:val="24"/>
          <w:szCs w:val="24"/>
          <w:lang w:eastAsia="bg-BG"/>
        </w:rPr>
        <w:t xml:space="preserve">) и описани по-горе, които имат: </w:t>
      </w:r>
    </w:p>
    <w:p w:rsidR="005A1B22" w:rsidRPr="00AE5CD3" w:rsidRDefault="006963CA"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eastAsia="Times New Roman" w:hAnsiTheme="majorHAnsi"/>
          <w:sz w:val="24"/>
          <w:szCs w:val="24"/>
          <w:lang w:eastAsia="bg-BG"/>
        </w:rPr>
      </w:pPr>
      <w:r w:rsidRPr="00AE5CD3">
        <w:rPr>
          <w:rFonts w:asciiTheme="majorHAnsi" w:hAnsiTheme="majorHAnsi"/>
          <w:sz w:val="24"/>
          <w:szCs w:val="24"/>
        </w:rPr>
        <w:t>- И</w:t>
      </w:r>
      <w:r w:rsidR="005A1B22" w:rsidRPr="00AE5CD3">
        <w:rPr>
          <w:rFonts w:asciiTheme="majorHAnsi" w:hAnsiTheme="majorHAnsi"/>
          <w:sz w:val="24"/>
          <w:szCs w:val="24"/>
        </w:rPr>
        <w:t>кономическа дейност съгласно тяхната технологична интензивност, изведен</w:t>
      </w:r>
      <w:r w:rsidRPr="00AE5CD3">
        <w:rPr>
          <w:rFonts w:asciiTheme="majorHAnsi" w:hAnsiTheme="majorHAnsi"/>
          <w:sz w:val="24"/>
          <w:szCs w:val="24"/>
        </w:rPr>
        <w:t>а</w:t>
      </w:r>
      <w:r w:rsidR="005A1B22" w:rsidRPr="00AE5CD3">
        <w:rPr>
          <w:rFonts w:asciiTheme="majorHAnsi" w:hAnsiTheme="majorHAnsi"/>
          <w:sz w:val="24"/>
          <w:szCs w:val="24"/>
        </w:rPr>
        <w:t xml:space="preserve"> като приоритетн</w:t>
      </w:r>
      <w:r w:rsidRPr="00AE5CD3">
        <w:rPr>
          <w:rFonts w:asciiTheme="majorHAnsi" w:hAnsiTheme="majorHAnsi"/>
          <w:sz w:val="24"/>
          <w:szCs w:val="24"/>
        </w:rPr>
        <w:t>а</w:t>
      </w:r>
      <w:r w:rsidR="005A1B22" w:rsidRPr="00AE5CD3">
        <w:rPr>
          <w:rFonts w:asciiTheme="majorHAnsi" w:hAnsiTheme="majorHAnsi"/>
          <w:sz w:val="24"/>
          <w:szCs w:val="24"/>
        </w:rPr>
        <w:t xml:space="preserve"> съгласно (НСНМСП), посочени по-горе.</w:t>
      </w:r>
    </w:p>
    <w:p w:rsidR="005A1B22" w:rsidRPr="00AE5CD3" w:rsidRDefault="00AB1B9C"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w:t>
      </w:r>
      <w:r w:rsidR="005A1B22" w:rsidRPr="00AE5CD3">
        <w:rPr>
          <w:rFonts w:asciiTheme="majorHAnsi" w:hAnsiTheme="majorHAnsi"/>
          <w:sz w:val="24"/>
          <w:szCs w:val="24"/>
        </w:rPr>
        <w:t xml:space="preserve">Минимум три приключени </w:t>
      </w:r>
      <w:r w:rsidR="00AD2AE7">
        <w:rPr>
          <w:rFonts w:asciiTheme="majorHAnsi" w:hAnsiTheme="majorHAnsi"/>
          <w:sz w:val="24"/>
          <w:szCs w:val="24"/>
        </w:rPr>
        <w:t>бюджетни</w:t>
      </w:r>
      <w:r w:rsidR="005A1B22" w:rsidRPr="00AE5CD3">
        <w:rPr>
          <w:rFonts w:asciiTheme="majorHAnsi" w:hAnsiTheme="majorHAnsi"/>
          <w:sz w:val="24"/>
          <w:szCs w:val="24"/>
        </w:rPr>
        <w:t xml:space="preserve"> години преди </w:t>
      </w:r>
      <w:r w:rsidR="00C92E3D" w:rsidRPr="00AE5CD3">
        <w:rPr>
          <w:rFonts w:asciiTheme="majorHAnsi" w:hAnsiTheme="majorHAnsi"/>
          <w:sz w:val="24"/>
          <w:szCs w:val="24"/>
        </w:rPr>
        <w:t xml:space="preserve">към </w:t>
      </w:r>
      <w:r w:rsidR="00836949">
        <w:rPr>
          <w:rFonts w:asciiTheme="majorHAnsi" w:hAnsiTheme="majorHAnsi"/>
          <w:sz w:val="24"/>
          <w:szCs w:val="24"/>
        </w:rPr>
        <w:t>крайния срок за подаване на проектни предложения</w:t>
      </w:r>
      <w:r w:rsidR="00BE0C60" w:rsidRPr="00AE5CD3">
        <w:rPr>
          <w:rStyle w:val="ae"/>
          <w:rFonts w:asciiTheme="majorHAnsi" w:hAnsiTheme="majorHAnsi"/>
          <w:sz w:val="24"/>
          <w:szCs w:val="24"/>
        </w:rPr>
        <w:footnoteReference w:id="5"/>
      </w:r>
      <w:r w:rsidR="005A1B22" w:rsidRPr="00AE5CD3">
        <w:rPr>
          <w:rFonts w:asciiTheme="majorHAnsi" w:hAnsiTheme="majorHAnsi"/>
          <w:sz w:val="24"/>
          <w:szCs w:val="24"/>
        </w:rPr>
        <w:t>;</w:t>
      </w:r>
    </w:p>
    <w:p w:rsidR="005A1B22" w:rsidRPr="00AE5CD3" w:rsidRDefault="00AB1B9C"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 xml:space="preserve">- </w:t>
      </w:r>
      <w:r w:rsidR="003073CF" w:rsidRPr="00AE5CD3">
        <w:rPr>
          <w:rFonts w:asciiTheme="majorHAnsi" w:hAnsiTheme="majorHAnsi"/>
          <w:sz w:val="23"/>
          <w:szCs w:val="23"/>
        </w:rPr>
        <w:t xml:space="preserve">Реализиран минимален размер нетни приходи от продажби </w:t>
      </w:r>
      <w:r w:rsidR="003073CF" w:rsidRPr="00AE5CD3">
        <w:rPr>
          <w:rFonts w:asciiTheme="majorHAnsi" w:hAnsiTheme="majorHAnsi"/>
          <w:b/>
          <w:sz w:val="23"/>
          <w:szCs w:val="23"/>
        </w:rPr>
        <w:t xml:space="preserve">общо </w:t>
      </w:r>
      <w:r w:rsidR="003073CF" w:rsidRPr="00AE5CD3">
        <w:rPr>
          <w:rFonts w:asciiTheme="majorHAnsi" w:hAnsiTheme="majorHAnsi"/>
          <w:sz w:val="23"/>
          <w:szCs w:val="23"/>
        </w:rPr>
        <w:t xml:space="preserve">за последните три приключени  </w:t>
      </w:r>
      <w:r w:rsidR="00AD2AE7">
        <w:rPr>
          <w:rFonts w:asciiTheme="majorHAnsi" w:hAnsiTheme="majorHAnsi"/>
          <w:sz w:val="23"/>
          <w:szCs w:val="23"/>
        </w:rPr>
        <w:t>бюджетни</w:t>
      </w:r>
      <w:r w:rsidR="003073CF" w:rsidRPr="00AE5CD3">
        <w:rPr>
          <w:rFonts w:asciiTheme="majorHAnsi" w:hAnsiTheme="majorHAnsi"/>
          <w:sz w:val="23"/>
          <w:szCs w:val="23"/>
        </w:rPr>
        <w:t xml:space="preserve"> години за съответната категория на предприятието</w:t>
      </w:r>
      <w:r w:rsidR="00836949">
        <w:rPr>
          <w:rFonts w:asciiTheme="majorHAnsi" w:hAnsiTheme="majorHAnsi"/>
          <w:sz w:val="23"/>
          <w:szCs w:val="23"/>
        </w:rPr>
        <w:t xml:space="preserve"> </w:t>
      </w:r>
      <w:r w:rsidR="00836949" w:rsidRPr="00070205">
        <w:rPr>
          <w:rFonts w:asciiTheme="majorHAnsi" w:hAnsiTheme="majorHAnsi"/>
          <w:sz w:val="28"/>
          <w:szCs w:val="23"/>
          <w:vertAlign w:val="superscript"/>
        </w:rPr>
        <w:t>4</w:t>
      </w:r>
      <w:r w:rsidR="003073CF" w:rsidRPr="00070205">
        <w:rPr>
          <w:rFonts w:asciiTheme="majorHAnsi" w:hAnsiTheme="majorHAnsi"/>
          <w:sz w:val="28"/>
          <w:szCs w:val="23"/>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4678"/>
      </w:tblGrid>
      <w:tr w:rsidR="005A1B22" w:rsidRPr="00AE5CD3" w:rsidTr="00704B00">
        <w:trPr>
          <w:trHeight w:val="579"/>
        </w:trPr>
        <w:tc>
          <w:tcPr>
            <w:tcW w:w="5245" w:type="dxa"/>
            <w:shd w:val="clear" w:color="auto" w:fill="auto"/>
            <w:vAlign w:val="center"/>
          </w:tcPr>
          <w:p w:rsidR="005A1B22" w:rsidRPr="00AE5CD3" w:rsidRDefault="005A1B22" w:rsidP="008119B6">
            <w:pPr>
              <w:pStyle w:val="aa"/>
              <w:spacing w:line="240" w:lineRule="auto"/>
              <w:ind w:left="0"/>
              <w:jc w:val="center"/>
              <w:rPr>
                <w:rFonts w:asciiTheme="majorHAnsi" w:eastAsia="Times New Roman" w:hAnsiTheme="majorHAnsi"/>
                <w:b/>
                <w:sz w:val="24"/>
                <w:szCs w:val="24"/>
              </w:rPr>
            </w:pPr>
            <w:r w:rsidRPr="00AE5CD3">
              <w:rPr>
                <w:rFonts w:asciiTheme="majorHAnsi" w:eastAsia="Times New Roman" w:hAnsiTheme="majorHAnsi"/>
                <w:b/>
                <w:sz w:val="24"/>
                <w:szCs w:val="24"/>
              </w:rPr>
              <w:t>Категория на предприятието</w:t>
            </w:r>
          </w:p>
        </w:tc>
        <w:tc>
          <w:tcPr>
            <w:tcW w:w="4678" w:type="dxa"/>
            <w:shd w:val="clear" w:color="auto" w:fill="auto"/>
            <w:vAlign w:val="center"/>
          </w:tcPr>
          <w:p w:rsidR="005A1B22" w:rsidRPr="00AE5CD3" w:rsidRDefault="005A1B22" w:rsidP="008119B6">
            <w:pPr>
              <w:pStyle w:val="aa"/>
              <w:spacing w:line="240" w:lineRule="auto"/>
              <w:ind w:left="0"/>
              <w:jc w:val="center"/>
              <w:rPr>
                <w:rFonts w:asciiTheme="majorHAnsi" w:eastAsia="Times New Roman" w:hAnsiTheme="majorHAnsi"/>
                <w:b/>
                <w:sz w:val="24"/>
                <w:szCs w:val="24"/>
              </w:rPr>
            </w:pPr>
            <w:r w:rsidRPr="00AE5CD3">
              <w:rPr>
                <w:rFonts w:asciiTheme="majorHAnsi" w:eastAsia="Times New Roman" w:hAnsiTheme="majorHAnsi"/>
                <w:b/>
                <w:sz w:val="24"/>
                <w:szCs w:val="24"/>
              </w:rPr>
              <w:t>Нетни приходи от продажби</w:t>
            </w:r>
            <w:r w:rsidRPr="00AE5CD3">
              <w:rPr>
                <w:rStyle w:val="ae"/>
                <w:rFonts w:asciiTheme="majorHAnsi" w:eastAsia="Times New Roman" w:hAnsiTheme="majorHAnsi"/>
                <w:b/>
                <w:sz w:val="24"/>
                <w:szCs w:val="24"/>
              </w:rPr>
              <w:footnoteReference w:id="6"/>
            </w:r>
          </w:p>
        </w:tc>
      </w:tr>
      <w:tr w:rsidR="005A1B22" w:rsidRPr="00AE5CD3" w:rsidTr="00BE0C60">
        <w:tc>
          <w:tcPr>
            <w:tcW w:w="5245" w:type="dxa"/>
            <w:shd w:val="clear" w:color="auto" w:fill="auto"/>
            <w:vAlign w:val="center"/>
          </w:tcPr>
          <w:p w:rsidR="005A1B22" w:rsidRPr="00AE5CD3" w:rsidRDefault="005A1B22" w:rsidP="008119B6">
            <w:pPr>
              <w:pStyle w:val="aa"/>
              <w:spacing w:line="240" w:lineRule="auto"/>
              <w:ind w:left="0"/>
              <w:jc w:val="center"/>
              <w:rPr>
                <w:rFonts w:asciiTheme="majorHAnsi" w:eastAsia="Times New Roman" w:hAnsiTheme="majorHAnsi"/>
                <w:sz w:val="24"/>
                <w:szCs w:val="24"/>
              </w:rPr>
            </w:pPr>
            <w:r w:rsidRPr="00AE5CD3">
              <w:rPr>
                <w:rFonts w:asciiTheme="majorHAnsi" w:eastAsia="Times New Roman" w:hAnsiTheme="majorHAnsi"/>
                <w:sz w:val="24"/>
                <w:szCs w:val="24"/>
              </w:rPr>
              <w:t>Малко предприятие</w:t>
            </w:r>
          </w:p>
        </w:tc>
        <w:tc>
          <w:tcPr>
            <w:tcW w:w="4678" w:type="dxa"/>
            <w:shd w:val="clear" w:color="auto" w:fill="auto"/>
            <w:vAlign w:val="center"/>
          </w:tcPr>
          <w:p w:rsidR="005A1B22" w:rsidRPr="00AE5CD3" w:rsidRDefault="005A1B22" w:rsidP="008119B6">
            <w:pPr>
              <w:spacing w:line="240" w:lineRule="auto"/>
              <w:jc w:val="center"/>
              <w:rPr>
                <w:rFonts w:asciiTheme="majorHAnsi" w:eastAsia="Times New Roman" w:hAnsiTheme="majorHAnsi"/>
                <w:sz w:val="24"/>
                <w:szCs w:val="24"/>
              </w:rPr>
            </w:pPr>
            <w:r w:rsidRPr="00AE5CD3">
              <w:rPr>
                <w:rFonts w:asciiTheme="majorHAnsi" w:eastAsia="Times New Roman" w:hAnsiTheme="majorHAnsi"/>
                <w:sz w:val="24"/>
                <w:szCs w:val="24"/>
              </w:rPr>
              <w:t>≥ 750 000 лева</w:t>
            </w:r>
          </w:p>
        </w:tc>
      </w:tr>
      <w:tr w:rsidR="005A1B22" w:rsidRPr="00AE5CD3" w:rsidTr="00BE0C60">
        <w:tc>
          <w:tcPr>
            <w:tcW w:w="5245" w:type="dxa"/>
            <w:tcBorders>
              <w:bottom w:val="single" w:sz="4" w:space="0" w:color="auto"/>
            </w:tcBorders>
            <w:shd w:val="clear" w:color="auto" w:fill="auto"/>
            <w:vAlign w:val="center"/>
          </w:tcPr>
          <w:p w:rsidR="005A1B22" w:rsidRPr="00AE5CD3" w:rsidRDefault="005A1B22" w:rsidP="008119B6">
            <w:pPr>
              <w:pStyle w:val="aa"/>
              <w:spacing w:line="240" w:lineRule="auto"/>
              <w:ind w:left="0"/>
              <w:jc w:val="center"/>
              <w:rPr>
                <w:rFonts w:asciiTheme="majorHAnsi" w:eastAsia="Times New Roman" w:hAnsiTheme="majorHAnsi"/>
                <w:sz w:val="24"/>
                <w:szCs w:val="24"/>
              </w:rPr>
            </w:pPr>
            <w:r w:rsidRPr="00AE5CD3">
              <w:rPr>
                <w:rFonts w:asciiTheme="majorHAnsi" w:eastAsia="Times New Roman" w:hAnsiTheme="majorHAnsi"/>
                <w:sz w:val="24"/>
                <w:szCs w:val="24"/>
              </w:rPr>
              <w:t>Средно предприятие</w:t>
            </w:r>
          </w:p>
        </w:tc>
        <w:tc>
          <w:tcPr>
            <w:tcW w:w="4678" w:type="dxa"/>
            <w:tcBorders>
              <w:bottom w:val="single" w:sz="4" w:space="0" w:color="auto"/>
            </w:tcBorders>
            <w:shd w:val="clear" w:color="auto" w:fill="auto"/>
            <w:vAlign w:val="center"/>
          </w:tcPr>
          <w:p w:rsidR="005A1B22" w:rsidRPr="00AE5CD3" w:rsidRDefault="005A1B22" w:rsidP="008119B6">
            <w:pPr>
              <w:spacing w:line="240" w:lineRule="auto"/>
              <w:jc w:val="center"/>
              <w:rPr>
                <w:rFonts w:asciiTheme="majorHAnsi" w:eastAsia="Times New Roman" w:hAnsiTheme="majorHAnsi"/>
                <w:sz w:val="24"/>
                <w:szCs w:val="24"/>
              </w:rPr>
            </w:pPr>
            <w:r w:rsidRPr="00AE5CD3">
              <w:rPr>
                <w:rFonts w:asciiTheme="majorHAnsi" w:eastAsia="Times New Roman" w:hAnsiTheme="majorHAnsi"/>
                <w:sz w:val="24"/>
                <w:szCs w:val="24"/>
              </w:rPr>
              <w:t>≥ 3 000 000 лева</w:t>
            </w:r>
          </w:p>
        </w:tc>
      </w:tr>
    </w:tbl>
    <w:p w:rsidR="005A1B22" w:rsidRPr="00AE5CD3" w:rsidRDefault="005A1B22" w:rsidP="008119B6">
      <w:pPr>
        <w:pStyle w:val="30"/>
        <w:spacing w:before="0" w:line="240" w:lineRule="auto"/>
        <w:rPr>
          <w:rFonts w:asciiTheme="majorHAnsi" w:hAnsiTheme="majorHAnsi"/>
          <w:sz w:val="26"/>
          <w:szCs w:val="26"/>
        </w:rPr>
      </w:pPr>
    </w:p>
    <w:p w:rsidR="005A1B22" w:rsidRPr="00AE5CD3" w:rsidRDefault="005A1B22" w:rsidP="008119B6">
      <w:pPr>
        <w:pStyle w:val="30"/>
        <w:spacing w:before="0" w:line="240" w:lineRule="auto"/>
        <w:rPr>
          <w:rFonts w:asciiTheme="majorHAnsi" w:hAnsiTheme="majorHAnsi"/>
          <w:sz w:val="26"/>
          <w:szCs w:val="26"/>
        </w:rPr>
      </w:pPr>
      <w:bookmarkStart w:id="57" w:name="_Toc514333703"/>
      <w:bookmarkStart w:id="58" w:name="_Toc514334543"/>
      <w:bookmarkStart w:id="59" w:name="_Toc514334635"/>
      <w:r w:rsidRPr="00AE5CD3">
        <w:rPr>
          <w:rFonts w:asciiTheme="majorHAnsi" w:hAnsiTheme="majorHAnsi"/>
          <w:sz w:val="26"/>
          <w:szCs w:val="26"/>
        </w:rPr>
        <w:t>11.2. Критерии за недопустимост на кандидатите</w:t>
      </w:r>
      <w:bookmarkEnd w:id="56"/>
      <w:bookmarkEnd w:id="57"/>
      <w:bookmarkEnd w:id="58"/>
      <w:bookmarkEnd w:id="59"/>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b/>
          <w:i/>
          <w:color w:val="000000"/>
          <w:sz w:val="24"/>
          <w:szCs w:val="24"/>
        </w:rPr>
      </w:pPr>
      <w:r w:rsidRPr="00AE5CD3">
        <w:rPr>
          <w:rFonts w:asciiTheme="majorHAnsi" w:hAnsiTheme="majorHAnsi"/>
          <w:b/>
          <w:i/>
          <w:color w:val="000000"/>
          <w:sz w:val="24"/>
          <w:szCs w:val="24"/>
        </w:rPr>
        <w:t>Посочените критерии за недопустимост се прилагат кумулативно с критериите за допустимост изрично посочени в т. 11.1 от Указанията .</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b/>
          <w:sz w:val="24"/>
          <w:szCs w:val="24"/>
        </w:rPr>
        <w:t>1.</w:t>
      </w:r>
      <w:r w:rsidRPr="00AE5CD3">
        <w:rPr>
          <w:rFonts w:asciiTheme="majorHAnsi" w:hAnsiTheme="majorHAnsi"/>
          <w:sz w:val="24"/>
          <w:szCs w:val="24"/>
        </w:rPr>
        <w:t xml:space="preserve"> Потенциалните кандидати </w:t>
      </w:r>
      <w:r w:rsidRPr="00AE5CD3">
        <w:rPr>
          <w:rFonts w:asciiTheme="majorHAnsi" w:hAnsiTheme="majorHAnsi"/>
          <w:b/>
          <w:sz w:val="24"/>
          <w:szCs w:val="24"/>
        </w:rPr>
        <w:t>не могат</w:t>
      </w:r>
      <w:r w:rsidRPr="00AE5CD3">
        <w:rPr>
          <w:rFonts w:asciiTheme="majorHAnsi" w:hAnsiTheme="majorHAnsi"/>
          <w:sz w:val="24"/>
          <w:szCs w:val="24"/>
        </w:rPr>
        <w:t xml:space="preserve"> да участват в процедурата за подбор на проекти и да получат безвъзмездна финансова помощ, в случай че:</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a) са обявени в несъстоятелност;</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б) са в производство по несъстоятелност;</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в) са в процедура по ликвидация;</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г) са сключили извънсъдебно споразумение с кредиторите си по смисъла на чл. 740 от Търговския закон;</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д) са преустановили дейността си;</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е) се намират в подобно положение, произтичащо от сходна на горепосочените процедури, съгласно законодателството на държавата, в която са установени;</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eastAsia="Times New Roman" w:hAnsiTheme="majorHAnsi"/>
          <w:b/>
          <w:snapToGrid w:val="0"/>
          <w:sz w:val="24"/>
          <w:szCs w:val="24"/>
        </w:rPr>
      </w:pPr>
      <w:r w:rsidRPr="00AE5CD3">
        <w:rPr>
          <w:rFonts w:asciiTheme="majorHAnsi" w:hAnsiTheme="majorHAnsi"/>
          <w:sz w:val="24"/>
          <w:szCs w:val="24"/>
        </w:rPr>
        <w:t xml:space="preserve">ж) е установено с влязло в сила наказателно постановление или съдебно решение, нарушение на чл. 61, ал. 1, чл. 62, ал. 1 или 3, чл. 63, ал. 1, чл. 118, чл. 128, чл. 228, ал. 3, чл. 245 и чл. 301-305 от Кодекса на труда или чл. 13, ал. 1 от Закона за трудовата миграция и трудовата мобилност или аналогични задължения, установени с акт на </w:t>
      </w:r>
      <w:r w:rsidRPr="00AE5CD3">
        <w:rPr>
          <w:rFonts w:asciiTheme="majorHAnsi" w:hAnsiTheme="majorHAnsi"/>
          <w:sz w:val="24"/>
          <w:szCs w:val="24"/>
        </w:rPr>
        <w:lastRenderedPageBreak/>
        <w:t>компетентен орган, съгласно законодателството на държавата, в която кандидатът или участникът е установен.</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napToGrid w:val="0"/>
          <w:sz w:val="24"/>
          <w:szCs w:val="24"/>
        </w:rPr>
      </w:pPr>
      <w:r w:rsidRPr="00AE5CD3">
        <w:rPr>
          <w:rFonts w:asciiTheme="majorHAnsi" w:hAnsiTheme="majorHAnsi"/>
          <w:snapToGrid w:val="0"/>
          <w:sz w:val="24"/>
          <w:szCs w:val="24"/>
        </w:rPr>
        <w:t>з) са лишени от правото да упражняват определена професия или дейност съгласно законодателството на държавата, в която е извършено деянието;</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napToGrid w:val="0"/>
          <w:sz w:val="24"/>
          <w:szCs w:val="24"/>
        </w:rPr>
      </w:pPr>
      <w:r w:rsidRPr="00AE5CD3">
        <w:rPr>
          <w:rFonts w:asciiTheme="majorHAnsi" w:hAnsiTheme="majorHAnsi"/>
          <w:snapToGrid w:val="0"/>
          <w:sz w:val="24"/>
          <w:szCs w:val="24"/>
        </w:rPr>
        <w:t>и) са сключили споразумение с други лица с цел нарушаване на конкуренцията, когато нарушението е установено с акт на компетентен орган;</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napToGrid w:val="0"/>
          <w:sz w:val="24"/>
          <w:szCs w:val="24"/>
        </w:rPr>
      </w:pPr>
      <w:r w:rsidRPr="00AE5CD3">
        <w:rPr>
          <w:rFonts w:asciiTheme="majorHAnsi" w:hAnsiTheme="majorHAnsi"/>
          <w:snapToGrid w:val="0"/>
          <w:sz w:val="24"/>
          <w:szCs w:val="24"/>
        </w:rPr>
        <w:t>й) е доказано, че са виновни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napToGrid w:val="0"/>
          <w:sz w:val="24"/>
          <w:szCs w:val="24"/>
        </w:rPr>
      </w:pPr>
      <w:r w:rsidRPr="00AE5CD3">
        <w:rPr>
          <w:rFonts w:asciiTheme="majorHAnsi" w:hAnsiTheme="majorHAnsi"/>
          <w:snapToGrid w:val="0"/>
          <w:sz w:val="24"/>
          <w:szCs w:val="24"/>
        </w:rPr>
        <w:t>к)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УО и на кандидата, или аналогични задължения, установени с акт на компетентен орган, съгласно законодателството на държавата, в която кандидатите са установени и не е допуснато разсрочване, отсрочване и обезпечение на задълженията или задължението не е по акт, който не е влязъл в сила или размерът на неплатените дължими данъци или социално осигурителни вноски е повече от 1 на сто от сумата на годишния общ оборот за последната приключена финансова година;</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napToGrid w:val="0"/>
          <w:sz w:val="24"/>
          <w:szCs w:val="24"/>
        </w:rPr>
      </w:pPr>
      <w:r w:rsidRPr="00AE5CD3">
        <w:rPr>
          <w:rFonts w:asciiTheme="majorHAnsi" w:hAnsiTheme="majorHAnsi"/>
          <w:snapToGrid w:val="0"/>
          <w:sz w:val="24"/>
          <w:szCs w:val="24"/>
        </w:rPr>
        <w:t>л) са изпаднали в неизпълнение на разпореждане на Европейската комисия за възстановяване на предоставената им неправомерна и несъвместима държавна помощ;</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napToGrid w:val="0"/>
          <w:sz w:val="24"/>
          <w:szCs w:val="24"/>
        </w:rPr>
      </w:pPr>
      <w:r w:rsidRPr="00AE5CD3">
        <w:rPr>
          <w:rFonts w:asciiTheme="majorHAnsi" w:hAnsiTheme="majorHAnsi"/>
          <w:snapToGrid w:val="0"/>
          <w:sz w:val="24"/>
          <w:szCs w:val="24"/>
        </w:rPr>
        <w:t>м) лицата, които представляват кандидата са правили опит да:</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tabs>
          <w:tab w:val="left" w:pos="426"/>
        </w:tabs>
        <w:spacing w:line="240" w:lineRule="auto"/>
        <w:ind w:left="851" w:hanging="851"/>
        <w:jc w:val="both"/>
        <w:rPr>
          <w:rFonts w:asciiTheme="majorHAnsi" w:hAnsiTheme="majorHAnsi"/>
          <w:snapToGrid w:val="0"/>
          <w:sz w:val="24"/>
          <w:szCs w:val="24"/>
        </w:rPr>
      </w:pPr>
      <w:r w:rsidRPr="00AE5CD3">
        <w:rPr>
          <w:rFonts w:asciiTheme="majorHAnsi" w:hAnsiTheme="majorHAnsi"/>
          <w:snapToGrid w:val="0"/>
          <w:sz w:val="24"/>
          <w:szCs w:val="24"/>
        </w:rPr>
        <w:t>i) повлияят на вземането на или членовете на управителни и надзорни органи или други лица, които имат правомощия решение от страна на МИГ/УО, свързано с отстраняването, подбора или възлагането, включително чрез предоставяне на невярна или заблуждаваща информация,</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ind w:left="851" w:hanging="851"/>
        <w:jc w:val="both"/>
        <w:rPr>
          <w:rFonts w:asciiTheme="majorHAnsi" w:hAnsiTheme="majorHAnsi"/>
          <w:snapToGrid w:val="0"/>
          <w:sz w:val="24"/>
          <w:szCs w:val="24"/>
        </w:rPr>
      </w:pPr>
      <w:r w:rsidRPr="00AE5CD3">
        <w:rPr>
          <w:rFonts w:asciiTheme="majorHAnsi" w:hAnsiTheme="majorHAnsi"/>
          <w:snapToGrid w:val="0"/>
          <w:sz w:val="24"/>
          <w:szCs w:val="24"/>
        </w:rPr>
        <w:t>или</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ind w:left="851" w:hanging="851"/>
        <w:jc w:val="both"/>
        <w:rPr>
          <w:rFonts w:asciiTheme="majorHAnsi" w:hAnsiTheme="majorHAnsi"/>
          <w:snapToGrid w:val="0"/>
          <w:sz w:val="24"/>
          <w:szCs w:val="24"/>
        </w:rPr>
      </w:pPr>
      <w:r w:rsidRPr="00AE5CD3">
        <w:rPr>
          <w:rFonts w:asciiTheme="majorHAnsi" w:hAnsiTheme="majorHAnsi"/>
          <w:snapToGrid w:val="0"/>
          <w:sz w:val="24"/>
          <w:szCs w:val="24"/>
        </w:rPr>
        <w:t>ii) получат информация, която може да им даде неоснователно предимство в процедурата за предоставяне на безвъзмездна финансова помощ.</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napToGrid w:val="0"/>
          <w:sz w:val="24"/>
          <w:szCs w:val="24"/>
        </w:rPr>
      </w:pPr>
      <w:r w:rsidRPr="00AE5CD3">
        <w:rPr>
          <w:rFonts w:asciiTheme="majorHAnsi" w:hAnsiTheme="majorHAnsi"/>
          <w:snapToGrid w:val="0"/>
          <w:sz w:val="24"/>
          <w:szCs w:val="24"/>
        </w:rPr>
        <w:t>н) лицата, които представляват кандидата са осъждани с влязла в сила присъда и не са реабилитирани за:</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napToGrid w:val="0"/>
          <w:sz w:val="24"/>
          <w:szCs w:val="24"/>
        </w:rPr>
      </w:pPr>
      <w:r w:rsidRPr="00AE5CD3">
        <w:rPr>
          <w:rFonts w:asciiTheme="majorHAnsi" w:hAnsiTheme="majorHAnsi"/>
          <w:snapToGrid w:val="0"/>
          <w:sz w:val="24"/>
          <w:szCs w:val="24"/>
        </w:rPr>
        <w:t>i) престъпление по чл. 108а, чл. 159а – 159г, чл. 172, чл. 192а, чл. 194 – 217, чл. 219 – 252, чл. 253 – 260, чл. 301 – 307, чл. 321, 321а и чл. 352 – 353е от Наказателния кодекс;</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napToGrid w:val="0"/>
          <w:sz w:val="24"/>
          <w:szCs w:val="24"/>
        </w:rPr>
      </w:pPr>
      <w:r w:rsidRPr="00AE5CD3">
        <w:rPr>
          <w:rFonts w:asciiTheme="majorHAnsi" w:hAnsiTheme="majorHAnsi"/>
          <w:snapToGrid w:val="0"/>
          <w:sz w:val="24"/>
          <w:szCs w:val="24"/>
        </w:rPr>
        <w:t>ii) престъпление, аналогично на тези по горната хипотеза, в друга държава членка или трета страна.</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napToGrid w:val="0"/>
          <w:sz w:val="24"/>
          <w:szCs w:val="24"/>
        </w:rPr>
      </w:pPr>
      <w:r w:rsidRPr="00AE5CD3">
        <w:rPr>
          <w:rFonts w:asciiTheme="majorHAnsi" w:hAnsiTheme="majorHAnsi"/>
          <w:snapToGrid w:val="0"/>
          <w:sz w:val="24"/>
          <w:szCs w:val="24"/>
        </w:rPr>
        <w:t>o) лицата, които представляват кандидата е налице конфликт на интереси във връзка с процедурата за предоставяне на безвъзмездна финансова помощ, който не може да бъде отстранен;</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napToGrid w:val="0"/>
          <w:sz w:val="24"/>
          <w:szCs w:val="24"/>
        </w:rPr>
      </w:pPr>
      <w:r w:rsidRPr="00AE5CD3">
        <w:rPr>
          <w:rFonts w:asciiTheme="majorHAnsi" w:hAnsiTheme="majorHAnsi"/>
          <w:snapToGrid w:val="0"/>
          <w:sz w:val="24"/>
          <w:szCs w:val="24"/>
        </w:rPr>
        <w:t>п) е налице неравнопоставеност в случаите по чл. 44, ал. 5 от Закона за обществени поръчки (ЗОП);</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napToGrid w:val="0"/>
          <w:sz w:val="24"/>
          <w:szCs w:val="24"/>
        </w:rPr>
      </w:pPr>
      <w:r w:rsidRPr="00AE5CD3">
        <w:rPr>
          <w:rFonts w:asciiTheme="majorHAnsi" w:hAnsiTheme="majorHAnsi"/>
          <w:snapToGrid w:val="0"/>
          <w:sz w:val="24"/>
          <w:szCs w:val="24"/>
        </w:rPr>
        <w:t>р) е установено, че:</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napToGrid w:val="0"/>
          <w:sz w:val="24"/>
          <w:szCs w:val="24"/>
        </w:rPr>
      </w:pPr>
      <w:r w:rsidRPr="00AE5CD3">
        <w:rPr>
          <w:rFonts w:asciiTheme="majorHAnsi" w:hAnsiTheme="majorHAnsi"/>
          <w:snapToGrid w:val="0"/>
          <w:sz w:val="24"/>
          <w:szCs w:val="24"/>
        </w:rPr>
        <w:t>i)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napToGrid w:val="0"/>
          <w:sz w:val="24"/>
          <w:szCs w:val="24"/>
        </w:rPr>
        <w:t>ii)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b/>
          <w:snapToGrid w:val="0"/>
          <w:lang w:val="bg-BG"/>
        </w:rPr>
      </w:pPr>
      <w:r w:rsidRPr="00AE5CD3">
        <w:rPr>
          <w:rFonts w:asciiTheme="majorHAnsi" w:hAnsiTheme="majorHAnsi"/>
          <w:b/>
          <w:snapToGrid w:val="0"/>
          <w:lang w:val="bg-BG"/>
        </w:rPr>
        <w:t xml:space="preserve">ВАЖНО: Декларацията по чл. 25, ал. 2 от ЗУСЕСИФ и чл. 7 от ПМС 162/2016 г. </w:t>
      </w:r>
      <w:r w:rsidR="006A3808" w:rsidRPr="00AE5CD3">
        <w:rPr>
          <w:rFonts w:asciiTheme="majorHAnsi" w:hAnsiTheme="majorHAnsi"/>
          <w:b/>
          <w:snapToGrid w:val="0"/>
          <w:lang w:val="bg-BG"/>
        </w:rPr>
        <w:t xml:space="preserve">(Приложение Г) </w:t>
      </w:r>
      <w:r w:rsidRPr="00AE5CD3">
        <w:rPr>
          <w:rFonts w:asciiTheme="majorHAnsi" w:hAnsiTheme="majorHAnsi"/>
          <w:b/>
          <w:snapToGrid w:val="0"/>
          <w:lang w:val="bg-BG"/>
        </w:rPr>
        <w:t xml:space="preserve">следва да бъде попълнена, датирана и подписана от всички лица с право да представляват кандидата(независимо от това дали заедно и/или </w:t>
      </w:r>
      <w:r w:rsidRPr="00AE5CD3">
        <w:rPr>
          <w:rFonts w:asciiTheme="majorHAnsi" w:hAnsiTheme="majorHAnsi"/>
          <w:b/>
          <w:snapToGrid w:val="0"/>
          <w:lang w:val="bg-BG"/>
        </w:rPr>
        <w:lastRenderedPageBreak/>
        <w:t xml:space="preserve">поотделно, и/или по друг начин). </w:t>
      </w:r>
    </w:p>
    <w:p w:rsidR="00C25F62" w:rsidRPr="00C25F62" w:rsidRDefault="00C25F62" w:rsidP="00C25F62">
      <w:pPr>
        <w:pStyle w:val="afd"/>
        <w:pBdr>
          <w:top w:val="single" w:sz="4" w:space="1" w:color="auto"/>
          <w:left w:val="single" w:sz="4" w:space="4" w:color="auto"/>
          <w:bottom w:val="single" w:sz="4" w:space="1" w:color="auto"/>
          <w:right w:val="single" w:sz="4" w:space="4" w:color="auto"/>
        </w:pBdr>
        <w:jc w:val="both"/>
        <w:rPr>
          <w:rFonts w:asciiTheme="majorHAnsi" w:hAnsiTheme="majorHAnsi"/>
          <w:b/>
          <w:snapToGrid w:val="0"/>
          <w:lang w:val="bg-BG"/>
        </w:rPr>
      </w:pPr>
    </w:p>
    <w:p w:rsidR="005A1B22" w:rsidRPr="00070205" w:rsidRDefault="00C25F62" w:rsidP="00C25F62">
      <w:pPr>
        <w:pStyle w:val="afd"/>
        <w:pBdr>
          <w:top w:val="single" w:sz="4" w:space="1" w:color="auto"/>
          <w:left w:val="single" w:sz="4" w:space="4" w:color="auto"/>
          <w:bottom w:val="single" w:sz="4" w:space="1" w:color="auto"/>
          <w:right w:val="single" w:sz="4" w:space="4" w:color="auto"/>
        </w:pBdr>
        <w:jc w:val="both"/>
        <w:rPr>
          <w:rFonts w:asciiTheme="majorHAnsi" w:hAnsiTheme="majorHAnsi"/>
          <w:snapToGrid w:val="0"/>
          <w:lang w:val="bg-BG"/>
        </w:rPr>
      </w:pPr>
      <w:r w:rsidRPr="00070205">
        <w:rPr>
          <w:rFonts w:asciiTheme="majorHAnsi" w:hAnsiTheme="majorHAnsi"/>
          <w:snapToGrid w:val="0"/>
          <w:lang w:val="bg-BG"/>
        </w:rPr>
        <w:t>Не могат да участват в процедура и да получат безвъзмездна финансова помощ кандидати, за които е установено с влязъл в сила административен акт наличието на недължимо платени и/или надплатени суми, както и неправомерно получени и/или неправомерно усвоени средства по проекти, финансирани от предприсъединителните финансови инструменти, оперативните програми, Структурните фондове и Кохезионния фонд на Европейския съюз, Европейските земеделски фондове и Европейския фонд за рибарството, Инструмента Шенген и Преходния финансов инструмент, включително от свързаното с тях национално съфинансиране.</w:t>
      </w:r>
    </w:p>
    <w:p w:rsidR="00C25F62" w:rsidRPr="00AE5CD3" w:rsidRDefault="00C25F6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b/>
          <w:snapToGrid w:val="0"/>
          <w:lang w:val="bg-BG"/>
        </w:rPr>
      </w:pP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b/>
          <w:lang w:val="bg-BG"/>
        </w:rPr>
        <w:t xml:space="preserve">2. </w:t>
      </w:r>
      <w:r w:rsidRPr="00AE5CD3">
        <w:rPr>
          <w:rFonts w:asciiTheme="majorHAnsi" w:hAnsiTheme="majorHAnsi"/>
          <w:lang w:val="bg-BG"/>
        </w:rPr>
        <w:t xml:space="preserve">С цел избягване на припокриването на интервенциите между Оперативна програма „Иновации и конкурентоспособност” 2014-2020 и Програмата за развитие на селските райони 2014-2020, подкрепа по процедура за подбор на проекти по избрани мерки към стратегия за ВОМР по приоритетна </w:t>
      </w:r>
      <w:r w:rsidRPr="00AE5CD3">
        <w:rPr>
          <w:rFonts w:asciiTheme="majorHAnsi" w:hAnsiTheme="majorHAnsi"/>
          <w:color w:val="000000"/>
          <w:lang w:val="bg-BG"/>
        </w:rPr>
        <w:t>ос 2 „Предприемачество и капацитет за растеж на МСП“,</w:t>
      </w:r>
      <w:r w:rsidRPr="00AE5CD3">
        <w:rPr>
          <w:rFonts w:asciiTheme="majorHAnsi" w:hAnsiTheme="majorHAnsi"/>
          <w:lang w:val="bg-BG"/>
        </w:rPr>
        <w:t xml:space="preserve"> обявена от МИГ, не могат да получават кандидати, които са:</w:t>
      </w:r>
    </w:p>
    <w:p w:rsidR="005A1B22" w:rsidRPr="00AE5CD3" w:rsidRDefault="005A1B22" w:rsidP="00782752">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trike/>
          <w:sz w:val="24"/>
          <w:szCs w:val="24"/>
        </w:rPr>
      </w:pPr>
      <w:r w:rsidRPr="00AE5CD3">
        <w:rPr>
          <w:rFonts w:asciiTheme="majorHAnsi" w:hAnsiTheme="majorHAnsi"/>
          <w:sz w:val="24"/>
          <w:szCs w:val="24"/>
        </w:rPr>
        <w:t xml:space="preserve">микропредприятията по смисъла на чл. 3-4 от Закона за малките и средните предприятия, </w:t>
      </w:r>
    </w:p>
    <w:p w:rsidR="00704B00" w:rsidRDefault="00704B00"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предприятия, кандидатстващи за финансиране на дейности за преработка и/или маркетинг на горски продукти.</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highlight w:val="yellow"/>
        </w:rPr>
      </w:pPr>
      <w:r w:rsidRPr="00AE5CD3">
        <w:rPr>
          <w:rFonts w:asciiTheme="majorHAnsi" w:hAnsiTheme="majorHAnsi"/>
          <w:sz w:val="24"/>
          <w:szCs w:val="24"/>
        </w:rPr>
        <w:t>малки и средни предприятия, по смисъла на чл. 3-4 от Закона за малките и средните предприятия, осъществяващи инвестиции, свързани с преработка и/или маркетинг на селскостопански продукти в неселскостопански продукти извън Приложение № 1 от Договора за създаване на европейската общност, или с производството на памук, с изключение на хляб, тестени и сладкарки изделия, в случай че тези инвестиции се осъществяват на територията на селските райони съгласно определението в т. 8.1. от Описание на общите условия от Програмата за развитие на селските райони за периода 2014-2020 г. и Списък на общините в обхвата на селските райони на Република България съгласно ПМС № 161/04.07.2016.</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предприятия, извършващи основната си икономическа дейност или кандидатстващи за финансиране на дейности, които съгласно КИД 2008 попадат в Сектор С - код на икономическа дейност 10 „Производство на хранителни продукти” и код 11 „Производство на напитки”, както следва:</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10.1 „Производство и преработка на месо; производство на месни продукти, без готови ястия”;</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ind w:left="360" w:hanging="360"/>
        <w:jc w:val="both"/>
        <w:rPr>
          <w:rFonts w:asciiTheme="majorHAnsi" w:hAnsiTheme="majorHAnsi"/>
          <w:sz w:val="24"/>
          <w:szCs w:val="24"/>
        </w:rPr>
      </w:pPr>
      <w:r w:rsidRPr="00AE5CD3">
        <w:rPr>
          <w:rFonts w:asciiTheme="majorHAnsi" w:hAnsiTheme="majorHAnsi"/>
          <w:sz w:val="24"/>
          <w:szCs w:val="24"/>
        </w:rPr>
        <w:t>10.2. „Преработка и консервиране на риба и други водни животни, без готови ястия”;</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ind w:left="360" w:hanging="360"/>
        <w:jc w:val="both"/>
        <w:rPr>
          <w:rFonts w:asciiTheme="majorHAnsi" w:hAnsiTheme="majorHAnsi"/>
          <w:sz w:val="24"/>
          <w:szCs w:val="24"/>
        </w:rPr>
      </w:pPr>
      <w:r w:rsidRPr="00AE5CD3">
        <w:rPr>
          <w:rFonts w:asciiTheme="majorHAnsi" w:hAnsiTheme="majorHAnsi"/>
          <w:sz w:val="24"/>
          <w:szCs w:val="24"/>
        </w:rPr>
        <w:t>10.3 „Преработка и консервиране на плодове и зеленчуци, без готови ястия”;</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ind w:left="360" w:hanging="360"/>
        <w:jc w:val="both"/>
        <w:rPr>
          <w:rFonts w:asciiTheme="majorHAnsi" w:hAnsiTheme="majorHAnsi"/>
          <w:sz w:val="24"/>
          <w:szCs w:val="24"/>
        </w:rPr>
      </w:pPr>
      <w:r w:rsidRPr="00AE5CD3">
        <w:rPr>
          <w:rFonts w:asciiTheme="majorHAnsi" w:hAnsiTheme="majorHAnsi"/>
          <w:sz w:val="24"/>
          <w:szCs w:val="24"/>
        </w:rPr>
        <w:t>10.4. „Производство на растителни и животински масла и мазнини”;</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ind w:left="360" w:hanging="360"/>
        <w:jc w:val="both"/>
        <w:rPr>
          <w:rFonts w:asciiTheme="majorHAnsi" w:hAnsiTheme="majorHAnsi"/>
          <w:sz w:val="24"/>
          <w:szCs w:val="24"/>
        </w:rPr>
      </w:pPr>
      <w:r w:rsidRPr="00AE5CD3">
        <w:rPr>
          <w:rFonts w:asciiTheme="majorHAnsi" w:hAnsiTheme="majorHAnsi"/>
          <w:sz w:val="24"/>
          <w:szCs w:val="24"/>
        </w:rPr>
        <w:t>10.5. „Производство на мляко и млечни продукти”;</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ind w:left="360" w:hanging="360"/>
        <w:jc w:val="both"/>
        <w:rPr>
          <w:rFonts w:asciiTheme="majorHAnsi" w:hAnsiTheme="majorHAnsi"/>
          <w:sz w:val="24"/>
          <w:szCs w:val="24"/>
        </w:rPr>
      </w:pPr>
      <w:r w:rsidRPr="00AE5CD3">
        <w:rPr>
          <w:rFonts w:asciiTheme="majorHAnsi" w:hAnsiTheme="majorHAnsi"/>
          <w:sz w:val="24"/>
          <w:szCs w:val="24"/>
        </w:rPr>
        <w:t>10.6. „Производство на мелничарски продукти, нишесте и нишестени продукти”;</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ind w:left="360" w:hanging="360"/>
        <w:jc w:val="both"/>
        <w:rPr>
          <w:rFonts w:asciiTheme="majorHAnsi" w:hAnsiTheme="majorHAnsi"/>
          <w:sz w:val="24"/>
          <w:szCs w:val="24"/>
        </w:rPr>
      </w:pPr>
      <w:r w:rsidRPr="00AE5CD3">
        <w:rPr>
          <w:rFonts w:asciiTheme="majorHAnsi" w:hAnsiTheme="majorHAnsi"/>
          <w:sz w:val="24"/>
          <w:szCs w:val="24"/>
        </w:rPr>
        <w:t>10.81. „Производство на захар”;</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ind w:left="360" w:hanging="360"/>
        <w:jc w:val="both"/>
        <w:rPr>
          <w:rFonts w:asciiTheme="majorHAnsi" w:hAnsiTheme="majorHAnsi"/>
          <w:sz w:val="24"/>
          <w:szCs w:val="24"/>
        </w:rPr>
      </w:pPr>
      <w:r w:rsidRPr="00AE5CD3">
        <w:rPr>
          <w:rFonts w:asciiTheme="majorHAnsi" w:hAnsiTheme="majorHAnsi"/>
          <w:sz w:val="24"/>
          <w:szCs w:val="24"/>
        </w:rPr>
        <w:t>10.83. „Преработка на кафе и чай”;</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ind w:left="360" w:hanging="360"/>
        <w:jc w:val="both"/>
        <w:rPr>
          <w:rFonts w:asciiTheme="majorHAnsi" w:hAnsiTheme="majorHAnsi"/>
          <w:sz w:val="24"/>
          <w:szCs w:val="24"/>
        </w:rPr>
      </w:pPr>
      <w:r w:rsidRPr="00AE5CD3">
        <w:rPr>
          <w:rFonts w:asciiTheme="majorHAnsi" w:hAnsiTheme="majorHAnsi"/>
          <w:sz w:val="24"/>
          <w:szCs w:val="24"/>
        </w:rPr>
        <w:t>10.84. „Производство на хранителни подправки и овкусители“;</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ind w:left="360" w:hanging="360"/>
        <w:jc w:val="both"/>
        <w:rPr>
          <w:rFonts w:asciiTheme="majorHAnsi" w:hAnsiTheme="majorHAnsi"/>
          <w:sz w:val="24"/>
          <w:szCs w:val="24"/>
        </w:rPr>
      </w:pPr>
      <w:r w:rsidRPr="00AE5CD3">
        <w:rPr>
          <w:rFonts w:asciiTheme="majorHAnsi" w:hAnsiTheme="majorHAnsi"/>
          <w:sz w:val="24"/>
          <w:szCs w:val="24"/>
        </w:rPr>
        <w:t>10.91. „Производство на готови храни за животни”;</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ind w:left="360" w:hanging="360"/>
        <w:jc w:val="both"/>
        <w:rPr>
          <w:rFonts w:asciiTheme="majorHAnsi" w:hAnsiTheme="majorHAnsi"/>
          <w:sz w:val="24"/>
          <w:szCs w:val="24"/>
        </w:rPr>
      </w:pPr>
      <w:r w:rsidRPr="00AE5CD3">
        <w:rPr>
          <w:rFonts w:asciiTheme="majorHAnsi" w:hAnsiTheme="majorHAnsi"/>
          <w:sz w:val="24"/>
          <w:szCs w:val="24"/>
        </w:rPr>
        <w:t>11.02. „Производство на вина от грозде”;</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ind w:left="360" w:hanging="360"/>
        <w:jc w:val="both"/>
        <w:rPr>
          <w:rFonts w:asciiTheme="majorHAnsi" w:hAnsiTheme="majorHAnsi"/>
          <w:sz w:val="24"/>
          <w:szCs w:val="24"/>
        </w:rPr>
      </w:pPr>
      <w:r w:rsidRPr="00AE5CD3">
        <w:rPr>
          <w:rFonts w:asciiTheme="majorHAnsi" w:hAnsiTheme="majorHAnsi"/>
          <w:sz w:val="24"/>
          <w:szCs w:val="24"/>
        </w:rPr>
        <w:t>11.03. „Производство на други ферментирали напитки”;</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ind w:left="360" w:hanging="360"/>
        <w:jc w:val="both"/>
        <w:rPr>
          <w:rFonts w:asciiTheme="majorHAnsi" w:hAnsiTheme="majorHAnsi"/>
          <w:sz w:val="24"/>
          <w:szCs w:val="24"/>
        </w:rPr>
      </w:pPr>
      <w:r w:rsidRPr="00AE5CD3">
        <w:rPr>
          <w:rFonts w:asciiTheme="majorHAnsi" w:hAnsiTheme="majorHAnsi"/>
          <w:sz w:val="24"/>
          <w:szCs w:val="24"/>
        </w:rPr>
        <w:t>11.06. „Производство на малц”.</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b/>
          <w:lang w:val="bg-BG"/>
        </w:rPr>
        <w:t>3.</w:t>
      </w:r>
      <w:r w:rsidRPr="00AE5CD3">
        <w:rPr>
          <w:rFonts w:asciiTheme="majorHAnsi" w:hAnsiTheme="majorHAnsi"/>
          <w:lang w:val="bg-BG"/>
        </w:rPr>
        <w:t xml:space="preserve"> Потенциалните кандидати не могат да участват в процедура и да получат безвъзмездна финансова помощ, в случай че попадат в забранителните режими на Регламент на Комисията (ЕС) № 1407/2013 и по-конкретно, ако:</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lastRenderedPageBreak/>
        <w:t>А. Тяхната основна дейност или дейността, за която кандидатстват се отнася до :</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сектора на рибарството и аквакултурите, обхванати от Регламент (ЕО) № 1379/2013;</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сектора на първичното производство на селскостопански продукти;</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сектора на преработката и търговията със селскостопански продукти, в следните случаи:</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когато размерът на помощта е определен въз основа на цените или количествата на този вид продукти, изкупувани от първичните производители или предлагани на пазара от съответните предприятия; или</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когато помощта е свързана със задължението да бъде прехвърлена частично или изцяло на първичните производители.</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и/или</w:t>
      </w:r>
    </w:p>
    <w:p w:rsidR="005A1B22" w:rsidRPr="00AE5CD3" w:rsidRDefault="005A1B22" w:rsidP="008119B6">
      <w:pPr>
        <w:pStyle w:val="a"/>
        <w:numPr>
          <w:ilvl w:val="0"/>
          <w:numId w:val="0"/>
        </w:numPr>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Б. Финансирането представлява:</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помощи за дейности, свързани с износ за трети държави или държави членки, по-конкретно помощите, пряко свързани с изнасяните количества, със създаването и функционирането на дистрибуторска мрежа или с други текущи разходи, свързани с износа;</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помощ, поставена в зависимост от преференциално използване на национални продукти спрямо вносни такива.</w:t>
      </w:r>
    </w:p>
    <w:p w:rsidR="005932EE" w:rsidRPr="005932EE" w:rsidRDefault="005932EE" w:rsidP="00070205">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5932EE">
        <w:rPr>
          <w:rFonts w:asciiTheme="majorHAnsi" w:hAnsiTheme="majorHAnsi"/>
          <w:sz w:val="24"/>
          <w:szCs w:val="24"/>
        </w:rPr>
        <w:t xml:space="preserve">помощ , която ще се използва за придобиването на товарни автомобили от предприятия, които осъществяват сухопътни товарни превози за чужда сметка или срещу възнаграждение. </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b/>
          <w:bCs/>
          <w:lang w:val="bg-BG"/>
        </w:rPr>
        <w:t xml:space="preserve">ВАЖНО: </w:t>
      </w:r>
      <w:r w:rsidRPr="00AE5CD3">
        <w:rPr>
          <w:rFonts w:asciiTheme="majorHAnsi" w:hAnsiTheme="majorHAnsi"/>
          <w:lang w:val="bg-BG"/>
        </w:rPr>
        <w:t xml:space="preserve">Кандидатите следва да представят към проектните предложения актуално Удостоверение от Националния статистически институт (НСИ) относно кода на основната икономическа дейност на кандидата на основа на данни за </w:t>
      </w:r>
      <w:r w:rsidR="001669B4" w:rsidRPr="001669B4">
        <w:rPr>
          <w:rFonts w:asciiTheme="majorHAnsi" w:hAnsiTheme="majorHAnsi"/>
          <w:lang w:val="bg-BG"/>
        </w:rPr>
        <w:t>годината, предхождаща годината на кандидатстване</w:t>
      </w:r>
      <w:r w:rsidR="001669B4">
        <w:rPr>
          <w:rFonts w:asciiTheme="majorHAnsi" w:hAnsiTheme="majorHAnsi"/>
          <w:lang w:val="bg-BG"/>
        </w:rPr>
        <w:t xml:space="preserve">. </w:t>
      </w:r>
    </w:p>
    <w:p w:rsidR="005A1B22" w:rsidRPr="00AE5CD3" w:rsidRDefault="005A1B22" w:rsidP="008119B6">
      <w:pPr>
        <w:pStyle w:val="20"/>
        <w:spacing w:before="0" w:line="240" w:lineRule="auto"/>
        <w:rPr>
          <w:rFonts w:asciiTheme="majorHAnsi" w:hAnsiTheme="majorHAnsi"/>
          <w:sz w:val="28"/>
          <w:szCs w:val="28"/>
        </w:rPr>
      </w:pPr>
      <w:bookmarkStart w:id="60" w:name="_Toc476823147"/>
      <w:bookmarkStart w:id="61" w:name="_Toc476823148"/>
    </w:p>
    <w:p w:rsidR="005A1B22" w:rsidRPr="00AE5CD3" w:rsidRDefault="005A1B22" w:rsidP="008119B6">
      <w:pPr>
        <w:pStyle w:val="20"/>
        <w:spacing w:before="0" w:line="240" w:lineRule="auto"/>
        <w:rPr>
          <w:rFonts w:asciiTheme="majorHAnsi" w:hAnsiTheme="majorHAnsi"/>
        </w:rPr>
      </w:pPr>
      <w:bookmarkStart w:id="62" w:name="_Toc514333704"/>
      <w:bookmarkStart w:id="63" w:name="_Toc514334544"/>
      <w:bookmarkStart w:id="64" w:name="_Toc514334636"/>
      <w:r w:rsidRPr="00AE5CD3">
        <w:rPr>
          <w:rFonts w:asciiTheme="majorHAnsi" w:hAnsiTheme="majorHAnsi"/>
        </w:rPr>
        <w:t>12. Допустими партньори</w:t>
      </w:r>
      <w:bookmarkEnd w:id="60"/>
      <w:bookmarkEnd w:id="62"/>
      <w:bookmarkEnd w:id="63"/>
      <w:bookmarkEnd w:id="64"/>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 xml:space="preserve">Допустими за финансиране по ОПИК чрез подхода ВОМР по настоящата процедура са проекти, изпълнявани от кандидати малки и средни предприятия, които участват </w:t>
      </w:r>
      <w:r w:rsidRPr="00AE5CD3">
        <w:rPr>
          <w:rFonts w:asciiTheme="majorHAnsi" w:hAnsiTheme="majorHAnsi"/>
          <w:b/>
          <w:sz w:val="24"/>
          <w:szCs w:val="24"/>
        </w:rPr>
        <w:t>индивидуално</w:t>
      </w:r>
      <w:r w:rsidRPr="00AE5CD3">
        <w:rPr>
          <w:rFonts w:asciiTheme="majorHAnsi" w:hAnsiTheme="majorHAnsi"/>
          <w:sz w:val="24"/>
          <w:szCs w:val="24"/>
        </w:rPr>
        <w:t xml:space="preserve">, а не съвместно с партньорски и/или други организации.  </w:t>
      </w:r>
      <w:r w:rsidRPr="00AE5CD3">
        <w:rPr>
          <w:rFonts w:asciiTheme="majorHAnsi" w:hAnsiTheme="majorHAnsi"/>
          <w:b/>
          <w:color w:val="000000"/>
          <w:sz w:val="24"/>
          <w:szCs w:val="24"/>
        </w:rPr>
        <w:t>Затова участието на партньори по настоящата процедура е неприложимо.</w:t>
      </w:r>
    </w:p>
    <w:p w:rsidR="005A1B22" w:rsidRPr="00AE5CD3" w:rsidRDefault="005A1B22" w:rsidP="008119B6">
      <w:pPr>
        <w:pStyle w:val="20"/>
        <w:spacing w:before="0" w:line="240" w:lineRule="auto"/>
        <w:rPr>
          <w:rFonts w:asciiTheme="majorHAnsi" w:hAnsiTheme="majorHAnsi"/>
          <w:sz w:val="22"/>
          <w:szCs w:val="22"/>
        </w:rPr>
      </w:pPr>
    </w:p>
    <w:p w:rsidR="005A1B22" w:rsidRPr="00AE5CD3" w:rsidRDefault="005A1B22" w:rsidP="008119B6">
      <w:pPr>
        <w:pStyle w:val="20"/>
        <w:spacing w:before="0" w:line="240" w:lineRule="auto"/>
        <w:rPr>
          <w:rFonts w:asciiTheme="majorHAnsi" w:hAnsiTheme="majorHAnsi"/>
        </w:rPr>
      </w:pPr>
      <w:bookmarkStart w:id="65" w:name="_Toc514333705"/>
      <w:bookmarkStart w:id="66" w:name="_Toc514334545"/>
      <w:bookmarkStart w:id="67" w:name="_Toc514334637"/>
      <w:bookmarkEnd w:id="61"/>
      <w:r w:rsidRPr="00AE5CD3">
        <w:rPr>
          <w:rFonts w:asciiTheme="majorHAnsi" w:hAnsiTheme="majorHAnsi"/>
        </w:rPr>
        <w:t>13. Дейности, допустими за финансиране</w:t>
      </w:r>
      <w:bookmarkEnd w:id="65"/>
      <w:bookmarkEnd w:id="66"/>
      <w:bookmarkEnd w:id="67"/>
    </w:p>
    <w:p w:rsidR="005A1B22" w:rsidRPr="00AE5CD3" w:rsidRDefault="005A1B22" w:rsidP="008119B6">
      <w:pPr>
        <w:pStyle w:val="30"/>
        <w:spacing w:before="0" w:line="240" w:lineRule="auto"/>
        <w:rPr>
          <w:rFonts w:asciiTheme="majorHAnsi" w:hAnsiTheme="majorHAnsi"/>
          <w:sz w:val="26"/>
          <w:szCs w:val="26"/>
        </w:rPr>
      </w:pPr>
      <w:bookmarkStart w:id="68" w:name="_Toc476823149"/>
      <w:bookmarkStart w:id="69" w:name="_Toc514333706"/>
      <w:bookmarkStart w:id="70" w:name="_Toc514334546"/>
      <w:bookmarkStart w:id="71" w:name="_Toc514334638"/>
      <w:r w:rsidRPr="00AE5CD3">
        <w:rPr>
          <w:rFonts w:asciiTheme="majorHAnsi" w:hAnsiTheme="majorHAnsi"/>
          <w:sz w:val="26"/>
          <w:szCs w:val="26"/>
        </w:rPr>
        <w:t>13.1. Допустими дейности</w:t>
      </w:r>
      <w:bookmarkEnd w:id="68"/>
      <w:bookmarkEnd w:id="69"/>
      <w:bookmarkEnd w:id="70"/>
      <w:bookmarkEnd w:id="71"/>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120" w:line="240" w:lineRule="auto"/>
        <w:ind w:left="0"/>
        <w:jc w:val="both"/>
        <w:rPr>
          <w:rFonts w:asciiTheme="majorHAnsi" w:hAnsiTheme="majorHAnsi"/>
          <w:sz w:val="24"/>
          <w:szCs w:val="24"/>
        </w:rPr>
      </w:pPr>
      <w:r w:rsidRPr="00AE5CD3">
        <w:rPr>
          <w:rFonts w:asciiTheme="majorHAnsi" w:hAnsiTheme="majorHAnsi"/>
          <w:sz w:val="24"/>
          <w:szCs w:val="24"/>
        </w:rPr>
        <w:t>Проектните предложения по настоящата процедура следва да съответстват на принципа на ефективност и ефикасност, като допустимите дейности следва да съответстват на целите на оперативната програма и да водят до постигане на специфичната цел и резултати на Инвестиционен приоритет 2.2 „Капацитет за растеж на МСП“ от Приоритетна ос 2 на ОПИК, както и на целите на настоящата процедура, при най-адекватното съотношение между очакваните разходи и ползи.</w:t>
      </w:r>
    </w:p>
    <w:p w:rsidR="00782752" w:rsidRPr="00AE5CD3" w:rsidRDefault="00782752" w:rsidP="008119B6">
      <w:pPr>
        <w:pStyle w:val="aa"/>
        <w:pBdr>
          <w:top w:val="single" w:sz="4" w:space="1" w:color="auto"/>
          <w:left w:val="single" w:sz="4" w:space="4" w:color="auto"/>
          <w:bottom w:val="single" w:sz="4" w:space="1" w:color="auto"/>
          <w:right w:val="single" w:sz="4" w:space="4" w:color="auto"/>
        </w:pBdr>
        <w:spacing w:after="120" w:line="240" w:lineRule="auto"/>
        <w:ind w:left="0"/>
        <w:jc w:val="both"/>
        <w:rPr>
          <w:rFonts w:asciiTheme="majorHAnsi" w:hAnsiTheme="majorHAnsi"/>
          <w:strike/>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120" w:line="240" w:lineRule="auto"/>
        <w:ind w:left="0"/>
        <w:jc w:val="both"/>
        <w:rPr>
          <w:rFonts w:asciiTheme="majorHAnsi" w:hAnsiTheme="majorHAnsi"/>
          <w:b/>
          <w:color w:val="000000"/>
          <w:sz w:val="24"/>
          <w:szCs w:val="24"/>
          <w:u w:val="single"/>
        </w:rPr>
      </w:pPr>
      <w:r w:rsidRPr="00AE5CD3">
        <w:rPr>
          <w:rFonts w:asciiTheme="majorHAnsi" w:hAnsiTheme="majorHAnsi"/>
          <w:b/>
          <w:color w:val="000000"/>
          <w:sz w:val="24"/>
          <w:szCs w:val="24"/>
          <w:u w:val="single"/>
        </w:rPr>
        <w:t xml:space="preserve">Допустими дейности </w:t>
      </w:r>
      <w:r w:rsidR="00D01902" w:rsidRPr="00AE5CD3">
        <w:rPr>
          <w:rFonts w:asciiTheme="majorHAnsi" w:hAnsiTheme="majorHAnsi"/>
          <w:b/>
          <w:color w:val="000000"/>
          <w:sz w:val="24"/>
          <w:szCs w:val="24"/>
          <w:u w:val="single"/>
        </w:rPr>
        <w:t>са:</w:t>
      </w:r>
    </w:p>
    <w:p w:rsidR="0027481A" w:rsidRPr="00AE5CD3" w:rsidRDefault="005A1B22" w:rsidP="008119B6">
      <w:pPr>
        <w:pStyle w:val="aa"/>
        <w:pBdr>
          <w:top w:val="single" w:sz="4" w:space="1" w:color="auto"/>
          <w:left w:val="single" w:sz="4" w:space="4" w:color="auto"/>
          <w:bottom w:val="single" w:sz="4" w:space="1" w:color="auto"/>
          <w:right w:val="single" w:sz="4" w:space="4" w:color="auto"/>
        </w:pBdr>
        <w:spacing w:after="120" w:line="240" w:lineRule="auto"/>
        <w:ind w:left="0"/>
        <w:jc w:val="both"/>
        <w:rPr>
          <w:rFonts w:asciiTheme="majorHAnsi" w:hAnsiTheme="majorHAnsi"/>
          <w:sz w:val="24"/>
          <w:szCs w:val="24"/>
        </w:rPr>
      </w:pPr>
      <w:r w:rsidRPr="00AE5CD3">
        <w:rPr>
          <w:rFonts w:asciiTheme="majorHAnsi" w:hAnsiTheme="majorHAnsi"/>
          <w:b/>
          <w:i/>
          <w:sz w:val="24"/>
          <w:szCs w:val="24"/>
        </w:rPr>
        <w:t xml:space="preserve">1. </w:t>
      </w:r>
      <w:r w:rsidR="0027481A" w:rsidRPr="00AE5CD3">
        <w:rPr>
          <w:rFonts w:asciiTheme="majorHAnsi" w:hAnsiTheme="majorHAnsi"/>
          <w:b/>
          <w:i/>
          <w:sz w:val="24"/>
          <w:szCs w:val="24"/>
        </w:rPr>
        <w:t>О</w:t>
      </w:r>
      <w:r w:rsidRPr="00AE5CD3">
        <w:rPr>
          <w:rFonts w:asciiTheme="majorHAnsi" w:hAnsiTheme="majorHAnsi"/>
          <w:b/>
          <w:i/>
          <w:sz w:val="24"/>
          <w:szCs w:val="24"/>
        </w:rPr>
        <w:t>бщи производствени инвестиции за подобряване на производствения капацитет за растеж чрез ефективното и ефикасно използване на факторите на производство и чрез изграждането на възможности за възприемане и адаптиране на европейски и международни знания и технологии.</w:t>
      </w:r>
    </w:p>
    <w:p w:rsidR="0027481A" w:rsidRPr="00AE5CD3" w:rsidRDefault="0027481A" w:rsidP="008119B6">
      <w:pPr>
        <w:pStyle w:val="aa"/>
        <w:pBdr>
          <w:top w:val="single" w:sz="4" w:space="1" w:color="auto"/>
          <w:left w:val="single" w:sz="4" w:space="4" w:color="auto"/>
          <w:bottom w:val="single" w:sz="4" w:space="1" w:color="auto"/>
          <w:right w:val="single" w:sz="4" w:space="4" w:color="auto"/>
        </w:pBdr>
        <w:spacing w:after="120" w:line="240" w:lineRule="auto"/>
        <w:ind w:left="0"/>
        <w:jc w:val="both"/>
        <w:rPr>
          <w:rFonts w:asciiTheme="majorHAnsi" w:hAnsiTheme="majorHAnsi"/>
          <w:sz w:val="24"/>
          <w:szCs w:val="24"/>
        </w:rPr>
      </w:pPr>
      <w:r w:rsidRPr="00AE5CD3">
        <w:rPr>
          <w:rFonts w:asciiTheme="majorHAnsi" w:hAnsiTheme="majorHAnsi"/>
          <w:sz w:val="24"/>
          <w:szCs w:val="24"/>
        </w:rPr>
        <w:t>1.1   Дейности за подобряване на производствените процеси и/или</w:t>
      </w:r>
    </w:p>
    <w:p w:rsidR="0027481A" w:rsidRPr="00AE5CD3" w:rsidRDefault="0027481A" w:rsidP="008119B6">
      <w:pPr>
        <w:pStyle w:val="aa"/>
        <w:pBdr>
          <w:top w:val="single" w:sz="4" w:space="1" w:color="auto"/>
          <w:left w:val="single" w:sz="4" w:space="4" w:color="auto"/>
          <w:bottom w:val="single" w:sz="4" w:space="1" w:color="auto"/>
          <w:right w:val="single" w:sz="4" w:space="4" w:color="auto"/>
        </w:pBdr>
        <w:spacing w:after="120" w:line="240" w:lineRule="auto"/>
        <w:ind w:left="0"/>
        <w:jc w:val="both"/>
        <w:rPr>
          <w:rFonts w:asciiTheme="majorHAnsi" w:hAnsiTheme="majorHAnsi"/>
          <w:sz w:val="24"/>
          <w:szCs w:val="24"/>
        </w:rPr>
      </w:pPr>
      <w:r w:rsidRPr="00AE5CD3">
        <w:rPr>
          <w:rFonts w:asciiTheme="majorHAnsi" w:hAnsiTheme="majorHAnsi"/>
          <w:sz w:val="24"/>
          <w:szCs w:val="24"/>
        </w:rPr>
        <w:lastRenderedPageBreak/>
        <w:t>1.2 Дейности за добавяне на нови характеристики или подобряване на съществуващите продукти и услуги, и/или</w:t>
      </w:r>
    </w:p>
    <w:p w:rsidR="0027481A" w:rsidRPr="00AE5CD3" w:rsidRDefault="0027481A" w:rsidP="008119B6">
      <w:pPr>
        <w:pStyle w:val="aa"/>
        <w:pBdr>
          <w:top w:val="single" w:sz="4" w:space="1" w:color="auto"/>
          <w:left w:val="single" w:sz="4" w:space="4" w:color="auto"/>
          <w:bottom w:val="single" w:sz="4" w:space="1" w:color="auto"/>
          <w:right w:val="single" w:sz="4" w:space="4" w:color="auto"/>
        </w:pBdr>
        <w:spacing w:after="120" w:line="240" w:lineRule="auto"/>
        <w:ind w:left="0"/>
        <w:jc w:val="both"/>
        <w:rPr>
          <w:rFonts w:asciiTheme="majorHAnsi" w:hAnsiTheme="majorHAnsi"/>
          <w:sz w:val="24"/>
          <w:szCs w:val="24"/>
        </w:rPr>
      </w:pPr>
      <w:r w:rsidRPr="00AE5CD3">
        <w:rPr>
          <w:rFonts w:asciiTheme="majorHAnsi" w:hAnsiTheme="majorHAnsi"/>
          <w:sz w:val="24"/>
          <w:szCs w:val="24"/>
        </w:rPr>
        <w:t>1.3 Дейности за разнообразяване на асортимента от продукти и услуги на предприятията и/или</w:t>
      </w:r>
    </w:p>
    <w:p w:rsidR="0027481A" w:rsidRPr="00AE5CD3" w:rsidRDefault="008A1E52" w:rsidP="008119B6">
      <w:pPr>
        <w:pStyle w:val="aa"/>
        <w:pBdr>
          <w:top w:val="single" w:sz="4" w:space="1" w:color="auto"/>
          <w:left w:val="single" w:sz="4" w:space="4" w:color="auto"/>
          <w:bottom w:val="single" w:sz="4" w:space="1" w:color="auto"/>
          <w:right w:val="single" w:sz="4" w:space="4" w:color="auto"/>
        </w:pBdr>
        <w:spacing w:after="120" w:line="240" w:lineRule="auto"/>
        <w:ind w:left="0"/>
        <w:jc w:val="both"/>
        <w:rPr>
          <w:rFonts w:asciiTheme="majorHAnsi" w:hAnsiTheme="majorHAnsi"/>
          <w:sz w:val="24"/>
          <w:szCs w:val="24"/>
        </w:rPr>
      </w:pPr>
      <w:r w:rsidRPr="00AE5CD3">
        <w:rPr>
          <w:rFonts w:asciiTheme="majorHAnsi" w:hAnsiTheme="majorHAnsi"/>
          <w:sz w:val="24"/>
          <w:szCs w:val="24"/>
        </w:rPr>
        <w:t xml:space="preserve">1.4 </w:t>
      </w:r>
      <w:r w:rsidR="0027481A" w:rsidRPr="00AE5CD3">
        <w:rPr>
          <w:rFonts w:asciiTheme="majorHAnsi" w:hAnsiTheme="majorHAnsi"/>
          <w:sz w:val="24"/>
          <w:szCs w:val="24"/>
        </w:rPr>
        <w:t>Дейности за внедряване на нови технологии за подобряване на ресурсната ефективност и ефикасност в производствения процес.</w:t>
      </w:r>
    </w:p>
    <w:p w:rsidR="005A1B22" w:rsidRPr="00AE5CD3" w:rsidRDefault="005A1B22" w:rsidP="008654D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 xml:space="preserve">Дейностите </w:t>
      </w:r>
      <w:r w:rsidR="006A3808" w:rsidRPr="00AE5CD3">
        <w:rPr>
          <w:rFonts w:asciiTheme="majorHAnsi" w:hAnsiTheme="majorHAnsi"/>
          <w:sz w:val="24"/>
          <w:szCs w:val="24"/>
        </w:rPr>
        <w:t>от тази група (1)</w:t>
      </w:r>
      <w:r w:rsidR="00675D84">
        <w:rPr>
          <w:rFonts w:asciiTheme="majorHAnsi" w:hAnsiTheme="majorHAnsi"/>
          <w:sz w:val="24"/>
          <w:szCs w:val="24"/>
        </w:rPr>
        <w:t xml:space="preserve"> </w:t>
      </w:r>
      <w:r w:rsidRPr="00AE5CD3">
        <w:rPr>
          <w:rFonts w:asciiTheme="majorHAnsi" w:hAnsiTheme="majorHAnsi"/>
          <w:sz w:val="24"/>
          <w:szCs w:val="24"/>
        </w:rPr>
        <w:t>трябва да са насочени към:</w:t>
      </w:r>
    </w:p>
    <w:p w:rsidR="005A1B22" w:rsidRPr="00AE5CD3" w:rsidRDefault="005A1B22" w:rsidP="008654D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 повишаване на производителността; и/или</w:t>
      </w:r>
    </w:p>
    <w:p w:rsidR="005A1B22" w:rsidRPr="00AE5CD3" w:rsidRDefault="005A1B22" w:rsidP="008654D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 xml:space="preserve">- ефективното и ефикасно използване на факторите на производство (човешки капитал, природни ресурси и технологии), чрез внедряване на нови технологии/практики/методи/системи за подобряване на ресурсната ефективност и ефикасност в производствения процес; и/или </w:t>
      </w:r>
    </w:p>
    <w:p w:rsidR="005A1B22" w:rsidRPr="00AE5CD3" w:rsidRDefault="005A1B22" w:rsidP="008654D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 подобряване на производствените процеси чрез инвестиции в дълготрайни материални и нематериални активи; и/или</w:t>
      </w:r>
    </w:p>
    <w:p w:rsidR="005A1B22" w:rsidRPr="00AE5CD3" w:rsidRDefault="005A1B22" w:rsidP="008654D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 xml:space="preserve">- въвеждане на водещи технологични решения и/или реинженеринг на процеси, вкл. чрез </w:t>
      </w:r>
      <w:r w:rsidRPr="00AE3EEB">
        <w:rPr>
          <w:rFonts w:asciiTheme="majorHAnsi" w:hAnsiTheme="majorHAnsi"/>
          <w:sz w:val="24"/>
          <w:szCs w:val="24"/>
        </w:rPr>
        <w:t>въвеждане на добри практики/технологични методи/технологии/процеси за намаляване консумацията</w:t>
      </w:r>
      <w:r w:rsidRPr="00AE5CD3">
        <w:rPr>
          <w:rFonts w:asciiTheme="majorHAnsi" w:hAnsiTheme="majorHAnsi"/>
          <w:sz w:val="24"/>
          <w:szCs w:val="24"/>
        </w:rPr>
        <w:t xml:space="preserve"> на природни ресурси, безотпадни технологии, оползотворяване на вторични суровини и производствените отпадъци, регенериране и др; и/или</w:t>
      </w:r>
    </w:p>
    <w:p w:rsidR="005A1B22" w:rsidRPr="00AE5CD3" w:rsidRDefault="005A1B22" w:rsidP="008654D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 разширяване на производството чрез добавяне на нови характеристики или подобряване на съществуващите продукти и услуги; и/или</w:t>
      </w:r>
    </w:p>
    <w:p w:rsidR="0027481A" w:rsidRPr="00AE5CD3" w:rsidRDefault="005A1B22" w:rsidP="008654D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 диверсификация на дейността чрез разнообразяване на портфолиото на предприятията и достъп до пазари.</w:t>
      </w:r>
    </w:p>
    <w:p w:rsidR="0027481A" w:rsidRPr="00AE5CD3" w:rsidRDefault="0027481A" w:rsidP="008654D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284" w:hanging="284"/>
        <w:jc w:val="both"/>
        <w:rPr>
          <w:rFonts w:asciiTheme="majorHAnsi" w:hAnsiTheme="majorHAnsi"/>
          <w:b/>
          <w:i/>
          <w:sz w:val="24"/>
          <w:szCs w:val="24"/>
        </w:rPr>
      </w:pPr>
      <w:r w:rsidRPr="00AE5CD3">
        <w:rPr>
          <w:rFonts w:asciiTheme="majorHAnsi" w:hAnsiTheme="majorHAnsi"/>
          <w:b/>
          <w:i/>
          <w:sz w:val="24"/>
          <w:szCs w:val="24"/>
        </w:rPr>
        <w:t>2. Подкрепа за специализирани услуги за МСП за развитие и укрепване на управленския капацитет:</w:t>
      </w:r>
    </w:p>
    <w:p w:rsidR="005A1B22" w:rsidRPr="00AE5CD3" w:rsidRDefault="008A1E52" w:rsidP="008119B6">
      <w:pPr>
        <w:pStyle w:val="2"/>
        <w:numPr>
          <w:ilvl w:val="0"/>
          <w:numId w:val="0"/>
        </w:num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sz w:val="24"/>
          <w:szCs w:val="24"/>
        </w:rPr>
      </w:pPr>
      <w:r w:rsidRPr="00AE5CD3">
        <w:rPr>
          <w:rFonts w:asciiTheme="majorHAnsi" w:hAnsiTheme="majorHAnsi"/>
          <w:sz w:val="24"/>
          <w:szCs w:val="24"/>
        </w:rPr>
        <w:t>2.1 У</w:t>
      </w:r>
      <w:r w:rsidR="005A1B22" w:rsidRPr="00AE5CD3">
        <w:rPr>
          <w:rFonts w:asciiTheme="majorHAnsi" w:hAnsiTheme="majorHAnsi"/>
          <w:sz w:val="24"/>
          <w:szCs w:val="24"/>
        </w:rPr>
        <w:t>правление на факторите на производство, с акцент върху изграждането на възможности за възприемане и адаптиране на европейски и международни знания и добри практики</w:t>
      </w:r>
      <w:r w:rsidRPr="00AE5CD3">
        <w:rPr>
          <w:rStyle w:val="ae"/>
          <w:rFonts w:asciiTheme="majorHAnsi" w:hAnsiTheme="majorHAnsi"/>
          <w:sz w:val="24"/>
          <w:szCs w:val="24"/>
        </w:rPr>
        <w:footnoteReference w:id="7"/>
      </w:r>
      <w:r w:rsidR="005A1B22" w:rsidRPr="00AE5CD3">
        <w:rPr>
          <w:rFonts w:asciiTheme="majorHAnsi" w:hAnsiTheme="majorHAnsi"/>
          <w:sz w:val="24"/>
          <w:szCs w:val="24"/>
        </w:rPr>
        <w:t>; и/или</w:t>
      </w:r>
    </w:p>
    <w:p w:rsidR="005A1B22" w:rsidRPr="00AE5CD3" w:rsidRDefault="008A1E52" w:rsidP="008119B6">
      <w:pPr>
        <w:pStyle w:val="2"/>
        <w:numPr>
          <w:ilvl w:val="0"/>
          <w:numId w:val="0"/>
        </w:num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sz w:val="24"/>
          <w:szCs w:val="24"/>
        </w:rPr>
      </w:pPr>
      <w:r w:rsidRPr="00AE5CD3">
        <w:rPr>
          <w:rFonts w:asciiTheme="majorHAnsi" w:hAnsiTheme="majorHAnsi"/>
          <w:sz w:val="24"/>
          <w:szCs w:val="24"/>
        </w:rPr>
        <w:t>2.2</w:t>
      </w:r>
      <w:r w:rsidR="005A1B22" w:rsidRPr="00AE5CD3">
        <w:rPr>
          <w:rFonts w:asciiTheme="majorHAnsi" w:hAnsiTheme="majorHAnsi"/>
          <w:sz w:val="24"/>
          <w:szCs w:val="24"/>
        </w:rPr>
        <w:t xml:space="preserve"> разработване, внедряване и сертифициране на системи за управление на качеството, опазване на околната среда, екомаркировка, сигурност на информацията и други съгласно международни, европейски и национални стандарти; и/или</w:t>
      </w:r>
    </w:p>
    <w:p w:rsidR="005A1B22" w:rsidRPr="00AE5CD3" w:rsidRDefault="008A1E52" w:rsidP="008119B6">
      <w:pPr>
        <w:pStyle w:val="2"/>
        <w:numPr>
          <w:ilvl w:val="0"/>
          <w:numId w:val="0"/>
        </w:num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sz w:val="24"/>
          <w:szCs w:val="24"/>
        </w:rPr>
      </w:pPr>
      <w:r w:rsidRPr="00AE5CD3">
        <w:rPr>
          <w:rFonts w:asciiTheme="majorHAnsi" w:hAnsiTheme="majorHAnsi"/>
          <w:sz w:val="24"/>
          <w:szCs w:val="24"/>
        </w:rPr>
        <w:t>2</w:t>
      </w:r>
      <w:r w:rsidR="00DD50B0">
        <w:rPr>
          <w:rFonts w:asciiTheme="majorHAnsi" w:hAnsiTheme="majorHAnsi"/>
          <w:sz w:val="24"/>
          <w:szCs w:val="24"/>
        </w:rPr>
        <w:t>.</w:t>
      </w:r>
      <w:r w:rsidRPr="00AE5CD3">
        <w:rPr>
          <w:rFonts w:asciiTheme="majorHAnsi" w:hAnsiTheme="majorHAnsi"/>
          <w:sz w:val="24"/>
          <w:szCs w:val="24"/>
        </w:rPr>
        <w:t>3</w:t>
      </w:r>
      <w:r w:rsidR="005A1B22" w:rsidRPr="00AE5CD3">
        <w:rPr>
          <w:rFonts w:asciiTheme="majorHAnsi" w:hAnsiTheme="majorHAnsi"/>
          <w:sz w:val="24"/>
          <w:szCs w:val="24"/>
        </w:rPr>
        <w:t xml:space="preserve"> разработване, трансфер, внедряване и сертифициране на добри производствени практики; и/или</w:t>
      </w:r>
    </w:p>
    <w:p w:rsidR="005A1B22" w:rsidRPr="00AE5CD3" w:rsidRDefault="008A1E52" w:rsidP="008119B6">
      <w:pPr>
        <w:pStyle w:val="2"/>
        <w:numPr>
          <w:ilvl w:val="0"/>
          <w:numId w:val="0"/>
        </w:num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sz w:val="24"/>
          <w:szCs w:val="24"/>
        </w:rPr>
      </w:pPr>
      <w:r w:rsidRPr="00AE5CD3">
        <w:rPr>
          <w:rFonts w:asciiTheme="majorHAnsi" w:hAnsiTheme="majorHAnsi"/>
          <w:sz w:val="24"/>
          <w:szCs w:val="24"/>
        </w:rPr>
        <w:t>2</w:t>
      </w:r>
      <w:r w:rsidR="00DD50B0">
        <w:rPr>
          <w:rFonts w:asciiTheme="majorHAnsi" w:hAnsiTheme="majorHAnsi"/>
          <w:sz w:val="24"/>
          <w:szCs w:val="24"/>
        </w:rPr>
        <w:t>.</w:t>
      </w:r>
      <w:r w:rsidRPr="00AE5CD3">
        <w:rPr>
          <w:rFonts w:asciiTheme="majorHAnsi" w:hAnsiTheme="majorHAnsi"/>
          <w:sz w:val="24"/>
          <w:szCs w:val="24"/>
        </w:rPr>
        <w:t xml:space="preserve">4 </w:t>
      </w:r>
      <w:r w:rsidR="005A1B22" w:rsidRPr="00AE5CD3">
        <w:rPr>
          <w:rFonts w:asciiTheme="majorHAnsi" w:hAnsiTheme="majorHAnsi"/>
          <w:sz w:val="24"/>
          <w:szCs w:val="24"/>
        </w:rPr>
        <w:t xml:space="preserve"> услуги по реинженеринг на процесите в предприятията</w:t>
      </w:r>
      <w:r w:rsidR="00D561EB" w:rsidRPr="00AE5CD3">
        <w:rPr>
          <w:rStyle w:val="ae"/>
          <w:rFonts w:asciiTheme="majorHAnsi" w:hAnsiTheme="majorHAnsi"/>
          <w:sz w:val="24"/>
          <w:szCs w:val="24"/>
        </w:rPr>
        <w:footnoteReference w:id="8"/>
      </w:r>
      <w:r w:rsidR="008654D6" w:rsidRPr="00AE5CD3">
        <w:rPr>
          <w:rFonts w:asciiTheme="majorHAnsi" w:hAnsiTheme="majorHAnsi"/>
          <w:sz w:val="24"/>
          <w:szCs w:val="24"/>
        </w:rPr>
        <w:t xml:space="preserve">; </w:t>
      </w:r>
    </w:p>
    <w:p w:rsidR="005A1B22" w:rsidRPr="00AE5CD3" w:rsidRDefault="005A1B22" w:rsidP="008119B6">
      <w:pPr>
        <w:pStyle w:val="2"/>
        <w:numPr>
          <w:ilvl w:val="0"/>
          <w:numId w:val="0"/>
        </w:numPr>
        <w:pBdr>
          <w:top w:val="single" w:sz="4" w:space="1" w:color="auto"/>
          <w:left w:val="single" w:sz="4" w:space="4" w:color="auto"/>
          <w:bottom w:val="single" w:sz="4" w:space="1" w:color="auto"/>
          <w:right w:val="single" w:sz="4" w:space="4" w:color="auto"/>
        </w:pBdr>
        <w:spacing w:after="120" w:line="240" w:lineRule="auto"/>
        <w:ind w:firstLine="284"/>
        <w:jc w:val="both"/>
        <w:rPr>
          <w:rFonts w:asciiTheme="majorHAnsi" w:hAnsiTheme="majorHAnsi"/>
          <w:sz w:val="24"/>
          <w:szCs w:val="24"/>
        </w:rPr>
      </w:pPr>
    </w:p>
    <w:p w:rsidR="005A1B22" w:rsidRPr="00AE5CD3" w:rsidRDefault="005A1B22" w:rsidP="008119B6">
      <w:pPr>
        <w:pStyle w:val="2"/>
        <w:numPr>
          <w:ilvl w:val="0"/>
          <w:numId w:val="0"/>
        </w:num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sz w:val="24"/>
          <w:szCs w:val="24"/>
        </w:rPr>
      </w:pPr>
      <w:r w:rsidRPr="00AE5CD3">
        <w:rPr>
          <w:rFonts w:asciiTheme="majorHAnsi" w:hAnsiTheme="majorHAnsi"/>
          <w:strike/>
          <w:sz w:val="24"/>
          <w:szCs w:val="24"/>
        </w:rPr>
        <w:t>-</w:t>
      </w:r>
      <w:r w:rsidRPr="00AE5CD3">
        <w:rPr>
          <w:rFonts w:asciiTheme="majorHAnsi" w:hAnsiTheme="majorHAnsi"/>
          <w:sz w:val="24"/>
          <w:szCs w:val="24"/>
        </w:rPr>
        <w:t>разработване на стратегии за пазарна реализация, проучвания и трансфер на инструментариум за навлизане на нови пазари и за задоволяване на пазарното търсене и разнообразяване на предлагането ; и/или</w:t>
      </w:r>
    </w:p>
    <w:p w:rsidR="005A1B22" w:rsidRPr="00AE5CD3" w:rsidRDefault="005A1B22" w:rsidP="008119B6">
      <w:pPr>
        <w:pStyle w:val="2"/>
        <w:numPr>
          <w:ilvl w:val="0"/>
          <w:numId w:val="0"/>
        </w:num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sz w:val="24"/>
          <w:szCs w:val="24"/>
        </w:rPr>
      </w:pPr>
    </w:p>
    <w:p w:rsidR="005A1B22" w:rsidRPr="00AE5CD3" w:rsidRDefault="005A1B22" w:rsidP="008119B6">
      <w:pPr>
        <w:pStyle w:val="2"/>
        <w:numPr>
          <w:ilvl w:val="0"/>
          <w:numId w:val="0"/>
        </w:num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sz w:val="24"/>
          <w:szCs w:val="24"/>
        </w:rPr>
      </w:pPr>
      <w:r w:rsidRPr="00AE5CD3">
        <w:rPr>
          <w:rFonts w:asciiTheme="majorHAnsi" w:hAnsiTheme="majorHAnsi"/>
          <w:sz w:val="24"/>
          <w:szCs w:val="24"/>
        </w:rPr>
        <w:t>- инвестиции в ново оборудване и/или специализирани софтуерни приложения, допринасящ/и за изпълнението на някоя от горепосочените дейности.</w:t>
      </w:r>
    </w:p>
    <w:p w:rsidR="005A1B22" w:rsidRDefault="005A1B22" w:rsidP="008119B6">
      <w:pPr>
        <w:pStyle w:val="aff1"/>
        <w:pBdr>
          <w:top w:val="single" w:sz="4" w:space="1" w:color="auto"/>
          <w:left w:val="single" w:sz="4" w:space="4" w:color="auto"/>
          <w:bottom w:val="single" w:sz="4" w:space="1" w:color="auto"/>
          <w:right w:val="single" w:sz="4" w:space="4" w:color="auto"/>
        </w:pBdr>
        <w:spacing w:after="0" w:line="240" w:lineRule="auto"/>
        <w:ind w:left="0" w:firstLine="0"/>
        <w:jc w:val="both"/>
        <w:rPr>
          <w:rFonts w:asciiTheme="majorHAnsi" w:hAnsiTheme="majorHAnsi"/>
          <w:sz w:val="24"/>
          <w:szCs w:val="24"/>
          <w:u w:val="single"/>
          <w:lang w:eastAsia="bg-BG"/>
        </w:rPr>
      </w:pPr>
      <w:r w:rsidRPr="00AE5CD3">
        <w:rPr>
          <w:rFonts w:asciiTheme="majorHAnsi" w:hAnsiTheme="majorHAnsi"/>
          <w:sz w:val="24"/>
          <w:szCs w:val="24"/>
          <w:u w:val="single"/>
          <w:lang w:eastAsia="bg-BG"/>
        </w:rPr>
        <w:t>Обхватът на дейностите</w:t>
      </w:r>
      <w:r w:rsidR="00070205">
        <w:rPr>
          <w:rFonts w:asciiTheme="majorHAnsi" w:hAnsiTheme="majorHAnsi"/>
          <w:sz w:val="24"/>
          <w:szCs w:val="24"/>
          <w:u w:val="single"/>
          <w:lang w:eastAsia="bg-BG"/>
        </w:rPr>
        <w:t xml:space="preserve"> по т.2 </w:t>
      </w:r>
      <w:r w:rsidRPr="00AE5CD3">
        <w:rPr>
          <w:rFonts w:asciiTheme="majorHAnsi" w:hAnsiTheme="majorHAnsi"/>
          <w:sz w:val="24"/>
          <w:szCs w:val="24"/>
          <w:u w:val="single"/>
          <w:lang w:eastAsia="bg-BG"/>
        </w:rPr>
        <w:t xml:space="preserve"> не може да включва само инвестиции в ново оборудване и/или специализирани софтуерни приложения.</w:t>
      </w:r>
    </w:p>
    <w:p w:rsidR="00DD50B0" w:rsidRDefault="00DD50B0" w:rsidP="008119B6">
      <w:pPr>
        <w:pStyle w:val="aff1"/>
        <w:pBdr>
          <w:top w:val="single" w:sz="4" w:space="1" w:color="auto"/>
          <w:left w:val="single" w:sz="4" w:space="4" w:color="auto"/>
          <w:bottom w:val="single" w:sz="4" w:space="1" w:color="auto"/>
          <w:right w:val="single" w:sz="4" w:space="4" w:color="auto"/>
        </w:pBdr>
        <w:spacing w:after="0" w:line="240" w:lineRule="auto"/>
        <w:ind w:left="0" w:firstLine="0"/>
        <w:jc w:val="both"/>
        <w:rPr>
          <w:rFonts w:asciiTheme="majorHAnsi" w:hAnsiTheme="majorHAnsi"/>
          <w:sz w:val="24"/>
          <w:szCs w:val="24"/>
          <w:u w:val="single"/>
          <w:lang w:eastAsia="bg-BG"/>
        </w:rPr>
      </w:pPr>
    </w:p>
    <w:p w:rsidR="00DD50B0" w:rsidRPr="00070205" w:rsidRDefault="00DD50B0" w:rsidP="008119B6">
      <w:pPr>
        <w:pStyle w:val="aff1"/>
        <w:pBdr>
          <w:top w:val="single" w:sz="4" w:space="1" w:color="auto"/>
          <w:left w:val="single" w:sz="4" w:space="4" w:color="auto"/>
          <w:bottom w:val="single" w:sz="4" w:space="1" w:color="auto"/>
          <w:right w:val="single" w:sz="4" w:space="4" w:color="auto"/>
        </w:pBdr>
        <w:spacing w:after="0" w:line="240" w:lineRule="auto"/>
        <w:ind w:left="0" w:firstLine="0"/>
        <w:jc w:val="both"/>
        <w:rPr>
          <w:rFonts w:asciiTheme="majorHAnsi" w:hAnsiTheme="majorHAnsi"/>
          <w:sz w:val="24"/>
          <w:szCs w:val="24"/>
          <w:lang w:eastAsia="bg-BG"/>
        </w:rPr>
      </w:pPr>
      <w:r w:rsidRPr="00070205">
        <w:rPr>
          <w:rFonts w:asciiTheme="majorHAnsi" w:hAnsiTheme="majorHAnsi"/>
          <w:b/>
          <w:sz w:val="24"/>
          <w:szCs w:val="24"/>
          <w:u w:val="single"/>
          <w:lang w:eastAsia="bg-BG"/>
        </w:rPr>
        <w:t>ВАЖНО</w:t>
      </w:r>
      <w:r w:rsidRPr="00DD50B0">
        <w:rPr>
          <w:rFonts w:asciiTheme="majorHAnsi" w:hAnsiTheme="majorHAnsi"/>
          <w:sz w:val="24"/>
          <w:szCs w:val="24"/>
          <w:u w:val="single"/>
          <w:lang w:eastAsia="bg-BG"/>
        </w:rPr>
        <w:t xml:space="preserve">! </w:t>
      </w:r>
      <w:r w:rsidRPr="00070205">
        <w:rPr>
          <w:rFonts w:asciiTheme="majorHAnsi" w:hAnsiTheme="majorHAnsi"/>
          <w:sz w:val="24"/>
          <w:szCs w:val="24"/>
          <w:lang w:eastAsia="bg-BG"/>
        </w:rPr>
        <w:t>Задължителен краен резултат от изпълнението на съответните дейности за развитие и укрепване на управленския капацитет е придобиването на документ/сертификат/удостоверение/маркировка. Ако в срока на изпълнение на проекта не бъде придобит документ/сертификат/удостоверение/маркировка, извършените разходи за изпълнение на съответната дейност няма да бъдат признати и бенефициентът следва да възстанови предоставените му от Управляващия  орган средства със съответната законова лихва.</w:t>
      </w:r>
    </w:p>
    <w:p w:rsidR="005A1B22" w:rsidRPr="00AE5CD3" w:rsidRDefault="005A1B22" w:rsidP="008119B6">
      <w:pPr>
        <w:pStyle w:val="2"/>
        <w:numPr>
          <w:ilvl w:val="0"/>
          <w:numId w:val="0"/>
        </w:num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284" w:hanging="284"/>
        <w:jc w:val="both"/>
        <w:rPr>
          <w:rFonts w:asciiTheme="majorHAnsi" w:hAnsiTheme="majorHAnsi"/>
          <w:b/>
          <w:i/>
          <w:sz w:val="24"/>
          <w:szCs w:val="24"/>
        </w:rPr>
      </w:pPr>
      <w:r w:rsidRPr="00AE5CD3">
        <w:rPr>
          <w:rFonts w:asciiTheme="majorHAnsi" w:hAnsiTheme="majorHAnsi"/>
          <w:b/>
          <w:i/>
          <w:sz w:val="24"/>
          <w:szCs w:val="24"/>
        </w:rPr>
        <w:t xml:space="preserve">3. Подкрепа за растеж на предприятия чрез подобряване на качеството и насърчаване на използването на ИКТ и услуги. </w:t>
      </w:r>
    </w:p>
    <w:p w:rsidR="00D561EB" w:rsidRPr="00AE5CD3" w:rsidRDefault="00D561EB" w:rsidP="008119B6">
      <w:pPr>
        <w:pStyle w:val="2"/>
        <w:numPr>
          <w:ilvl w:val="0"/>
          <w:numId w:val="0"/>
        </w:num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sz w:val="24"/>
          <w:szCs w:val="24"/>
        </w:rPr>
      </w:pPr>
      <w:r w:rsidRPr="00AE5CD3">
        <w:rPr>
          <w:rFonts w:asciiTheme="majorHAnsi" w:hAnsiTheme="majorHAnsi"/>
          <w:sz w:val="24"/>
          <w:szCs w:val="24"/>
        </w:rPr>
        <w:t xml:space="preserve">3.1 подобряване на качеството на съществуващи процеси, продукти и услуги чрез разработване и въвеждане на базирани на ИКТ системи и приложения, включително „виртуализирани―, „облачни―, „мобилни―: за управление на бизнеса, включително такива за интеграция на различни звена и локации на дадено дружество, </w:t>
      </w:r>
    </w:p>
    <w:p w:rsidR="00D561EB" w:rsidRPr="00AE5CD3" w:rsidRDefault="00D561EB" w:rsidP="008119B6">
      <w:pPr>
        <w:pStyle w:val="2"/>
        <w:numPr>
          <w:ilvl w:val="0"/>
          <w:numId w:val="0"/>
        </w:num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sz w:val="24"/>
          <w:szCs w:val="24"/>
        </w:rPr>
      </w:pPr>
      <w:r w:rsidRPr="00AE5CD3">
        <w:rPr>
          <w:rFonts w:asciiTheme="majorHAnsi" w:hAnsiTheme="majorHAnsi"/>
          <w:sz w:val="24"/>
          <w:szCs w:val="24"/>
        </w:rPr>
        <w:t>3.2 системи за автоматизирано проектиране, инженерни дейности и производство;</w:t>
      </w:r>
    </w:p>
    <w:p w:rsidR="00D561EB" w:rsidRPr="00AE5CD3" w:rsidRDefault="00D561EB" w:rsidP="008119B6">
      <w:pPr>
        <w:pStyle w:val="2"/>
        <w:numPr>
          <w:ilvl w:val="0"/>
          <w:numId w:val="0"/>
        </w:num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sz w:val="24"/>
          <w:szCs w:val="24"/>
        </w:rPr>
      </w:pPr>
      <w:r w:rsidRPr="00AE5CD3">
        <w:rPr>
          <w:rFonts w:asciiTheme="majorHAnsi" w:hAnsiTheme="majorHAnsi"/>
          <w:sz w:val="24"/>
          <w:szCs w:val="24"/>
        </w:rPr>
        <w:t>3.3 системи  за трансформиране на бизнес и операционни процеси, които водят до повишаване на производителността и конкурентоспособността</w:t>
      </w:r>
    </w:p>
    <w:p w:rsidR="005A1B22" w:rsidRPr="00AE5CD3" w:rsidRDefault="005A1B22" w:rsidP="008119B6">
      <w:pPr>
        <w:pStyle w:val="2"/>
        <w:numPr>
          <w:ilvl w:val="0"/>
          <w:numId w:val="0"/>
        </w:num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strike/>
          <w:sz w:val="24"/>
          <w:szCs w:val="24"/>
        </w:rPr>
      </w:pPr>
    </w:p>
    <w:p w:rsidR="005A1B22" w:rsidRPr="00AE5CD3" w:rsidRDefault="005A1B22" w:rsidP="008119B6">
      <w:pPr>
        <w:pStyle w:val="aff1"/>
        <w:pBdr>
          <w:top w:val="single" w:sz="4" w:space="1" w:color="auto"/>
          <w:left w:val="single" w:sz="4" w:space="4" w:color="auto"/>
          <w:bottom w:val="single" w:sz="4" w:space="1" w:color="auto"/>
          <w:right w:val="single" w:sz="4" w:space="4" w:color="auto"/>
        </w:pBdr>
        <w:spacing w:line="240" w:lineRule="auto"/>
        <w:ind w:left="0" w:firstLine="0"/>
        <w:jc w:val="both"/>
        <w:rPr>
          <w:rFonts w:asciiTheme="majorHAnsi" w:hAnsiTheme="majorHAnsi"/>
          <w:sz w:val="24"/>
          <w:szCs w:val="24"/>
        </w:rPr>
      </w:pPr>
      <w:r w:rsidRPr="00AE5CD3">
        <w:rPr>
          <w:rFonts w:asciiTheme="majorHAnsi" w:hAnsiTheme="majorHAnsi"/>
          <w:color w:val="000000"/>
          <w:sz w:val="24"/>
          <w:szCs w:val="24"/>
          <w:u w:val="single"/>
          <w:lang w:eastAsia="bg-BG"/>
        </w:rPr>
        <w:t xml:space="preserve">Обхватът на дейностите </w:t>
      </w:r>
      <w:r w:rsidR="00070205">
        <w:rPr>
          <w:rFonts w:asciiTheme="majorHAnsi" w:hAnsiTheme="majorHAnsi"/>
          <w:color w:val="000000"/>
          <w:sz w:val="24"/>
          <w:szCs w:val="24"/>
          <w:u w:val="single"/>
          <w:lang w:eastAsia="bg-BG"/>
        </w:rPr>
        <w:t xml:space="preserve"> по т,3 </w:t>
      </w:r>
      <w:r w:rsidRPr="00AE5CD3">
        <w:rPr>
          <w:rFonts w:asciiTheme="majorHAnsi" w:hAnsiTheme="majorHAnsi"/>
          <w:color w:val="000000"/>
          <w:sz w:val="24"/>
          <w:szCs w:val="24"/>
          <w:u w:val="single"/>
          <w:lang w:eastAsia="bg-BG"/>
        </w:rPr>
        <w:t>не може да включва само инвестиции в ново оборудване и/или специализирани софтуерни приложен</w:t>
      </w:r>
      <w:r w:rsidRPr="00AE5CD3">
        <w:rPr>
          <w:rFonts w:asciiTheme="majorHAnsi" w:hAnsiTheme="majorHAnsi"/>
          <w:color w:val="000000"/>
          <w:sz w:val="24"/>
          <w:szCs w:val="24"/>
          <w:u w:val="single"/>
        </w:rPr>
        <w:t>ия</w:t>
      </w:r>
      <w:r w:rsidR="00CE6534">
        <w:rPr>
          <w:rStyle w:val="ae"/>
          <w:rFonts w:asciiTheme="majorHAnsi" w:hAnsiTheme="majorHAnsi"/>
          <w:color w:val="000000"/>
          <w:sz w:val="24"/>
          <w:szCs w:val="24"/>
          <w:u w:val="single"/>
        </w:rPr>
        <w:footnoteReference w:id="9"/>
      </w:r>
      <w:r w:rsidRPr="00AE5CD3">
        <w:rPr>
          <w:rFonts w:asciiTheme="majorHAnsi" w:hAnsiTheme="majorHAnsi"/>
          <w:color w:val="000000"/>
          <w:sz w:val="24"/>
          <w:szCs w:val="24"/>
          <w:u w:val="single"/>
        </w:rPr>
        <w:t>.</w:t>
      </w:r>
    </w:p>
    <w:p w:rsidR="005A1B22" w:rsidRPr="00AE5CD3" w:rsidRDefault="005A1B22" w:rsidP="008119B6">
      <w:pPr>
        <w:pBdr>
          <w:top w:val="single" w:sz="4" w:space="1" w:color="auto"/>
          <w:left w:val="single" w:sz="4" w:space="4" w:color="auto"/>
          <w:bottom w:val="single" w:sz="4" w:space="1" w:color="auto"/>
          <w:right w:val="single" w:sz="4" w:space="4" w:color="auto"/>
        </w:pBdr>
        <w:spacing w:before="240" w:after="120" w:line="240" w:lineRule="auto"/>
        <w:jc w:val="both"/>
        <w:rPr>
          <w:rFonts w:asciiTheme="majorHAnsi" w:hAnsiTheme="majorHAnsi"/>
          <w:b/>
          <w:i/>
          <w:sz w:val="24"/>
          <w:szCs w:val="24"/>
        </w:rPr>
      </w:pPr>
      <w:r w:rsidRPr="00AE5CD3">
        <w:rPr>
          <w:rFonts w:asciiTheme="majorHAnsi" w:hAnsiTheme="majorHAnsi"/>
          <w:b/>
          <w:i/>
          <w:sz w:val="24"/>
          <w:szCs w:val="24"/>
        </w:rPr>
        <w:t>4. Дейности за информиране и публичност</w:t>
      </w:r>
    </w:p>
    <w:p w:rsidR="008654D6" w:rsidRPr="00AE5CD3" w:rsidRDefault="005A1B22" w:rsidP="008119B6">
      <w:p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sz w:val="24"/>
          <w:szCs w:val="24"/>
        </w:rPr>
      </w:pPr>
      <w:r w:rsidRPr="00AE5CD3">
        <w:rPr>
          <w:rFonts w:asciiTheme="majorHAnsi" w:hAnsiTheme="majorHAnsi"/>
          <w:sz w:val="24"/>
          <w:szCs w:val="24"/>
        </w:rPr>
        <w:t>Пълният набор от мерки за информиране и публичност (визуализация), които бенефициентите трябва да прилагат при изпълнение на проекти финансирани от ЕСИФ, се съдържа в „Единния наръчник на бенефициента за прилагане на правилата за информация и комуникация" 2014-2020, който може да бъде намерен на интернет страницата на Управляващия орган:</w:t>
      </w:r>
    </w:p>
    <w:p w:rsidR="005A1B22" w:rsidRPr="00AE5CD3" w:rsidRDefault="002663C2" w:rsidP="008119B6">
      <w:pPr>
        <w:pBdr>
          <w:top w:val="single" w:sz="4" w:space="1" w:color="auto"/>
          <w:left w:val="single" w:sz="4" w:space="4" w:color="auto"/>
          <w:bottom w:val="single" w:sz="4" w:space="1" w:color="auto"/>
          <w:right w:val="single" w:sz="4" w:space="4" w:color="auto"/>
        </w:pBdr>
        <w:spacing w:after="120" w:line="240" w:lineRule="auto"/>
        <w:jc w:val="both"/>
        <w:rPr>
          <w:rFonts w:asciiTheme="majorHAnsi" w:hAnsiTheme="majorHAnsi"/>
          <w:sz w:val="24"/>
          <w:szCs w:val="24"/>
        </w:rPr>
      </w:pPr>
      <w:hyperlink r:id="rId16" w:history="1">
        <w:r w:rsidR="005A1B22" w:rsidRPr="00AE5CD3">
          <w:rPr>
            <w:rStyle w:val="af3"/>
            <w:rFonts w:asciiTheme="majorHAnsi" w:hAnsiTheme="majorHAnsi"/>
            <w:sz w:val="24"/>
            <w:szCs w:val="24"/>
          </w:rPr>
          <w:t>http://www.opcompetitiveness.bg/module3.php?menu_id=359</w:t>
        </w:r>
      </w:hyperlink>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Дейностите следва да се изпълняват при условията и спазване на праговете за помощ „</w:t>
      </w:r>
      <w:r w:rsidR="00094E1B">
        <w:rPr>
          <w:rFonts w:asciiTheme="majorHAnsi" w:hAnsiTheme="majorHAnsi"/>
          <w:sz w:val="24"/>
          <w:szCs w:val="24"/>
        </w:rPr>
        <w:t>de minimis</w:t>
      </w:r>
      <w:r w:rsidRPr="00AE5CD3">
        <w:rPr>
          <w:rFonts w:asciiTheme="majorHAnsi" w:hAnsiTheme="majorHAnsi"/>
          <w:sz w:val="24"/>
          <w:szCs w:val="24"/>
        </w:rPr>
        <w:t>“ съгласно Регламент (ЕС) № 1407/2013.</w:t>
      </w:r>
    </w:p>
    <w:p w:rsidR="009C7725" w:rsidRPr="00AE5CD3" w:rsidRDefault="009C7725"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 xml:space="preserve">Дейностите следва да се изпълняват на територията на </w:t>
      </w:r>
      <w:r w:rsidR="008654D6" w:rsidRPr="00AE5CD3">
        <w:rPr>
          <w:rFonts w:asciiTheme="majorHAnsi" w:hAnsiTheme="majorHAnsi"/>
          <w:sz w:val="24"/>
          <w:szCs w:val="24"/>
        </w:rPr>
        <w:t xml:space="preserve">Общини Кирково и </w:t>
      </w:r>
      <w:r w:rsidRPr="00AE5CD3">
        <w:rPr>
          <w:rFonts w:asciiTheme="majorHAnsi" w:hAnsiTheme="majorHAnsi"/>
          <w:sz w:val="24"/>
          <w:szCs w:val="24"/>
        </w:rPr>
        <w:t>Златоград.</w:t>
      </w:r>
    </w:p>
    <w:p w:rsidR="004B2D03" w:rsidRPr="00025E18" w:rsidRDefault="004B2D03"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lang w:val="ru-RU"/>
        </w:rPr>
      </w:pPr>
    </w:p>
    <w:p w:rsidR="009C7725" w:rsidRPr="00AE5CD3" w:rsidRDefault="00CB4FB6"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CB4FB6">
        <w:rPr>
          <w:rFonts w:asciiTheme="majorHAnsi" w:hAnsiTheme="majorHAnsi"/>
          <w:b/>
          <w:sz w:val="24"/>
          <w:szCs w:val="24"/>
        </w:rPr>
        <w:t>ВАЖНО:</w:t>
      </w:r>
      <w:r w:rsidR="009C7725" w:rsidRPr="00AE5CD3">
        <w:rPr>
          <w:rFonts w:asciiTheme="majorHAnsi" w:hAnsiTheme="majorHAnsi"/>
          <w:sz w:val="24"/>
          <w:szCs w:val="24"/>
        </w:rPr>
        <w:t xml:space="preserve"> При описание на дейностите във Формуляра за кандидатстване, сформирането на екип по проекта, провеждането на процедура за избор на изпълнител, изборът на изпълнител, доставката на закупеното по проекта оборудване </w:t>
      </w:r>
      <w:r w:rsidR="009C7725" w:rsidRPr="00AE5CD3">
        <w:rPr>
          <w:rFonts w:asciiTheme="majorHAnsi" w:hAnsiTheme="majorHAnsi"/>
          <w:sz w:val="24"/>
          <w:szCs w:val="24"/>
        </w:rPr>
        <w:lastRenderedPageBreak/>
        <w:t>и т.н. не следва да са обособени като отделни дейности, а да са част от описанието/методологията за изпълнение на посочените по-горе дейности.</w:t>
      </w:r>
    </w:p>
    <w:p w:rsidR="005A1B22" w:rsidRPr="00AE5CD3" w:rsidRDefault="00D01902" w:rsidP="008119B6">
      <w:pPr>
        <w:pStyle w:val="30"/>
        <w:spacing w:before="0" w:line="240" w:lineRule="auto"/>
        <w:rPr>
          <w:rFonts w:asciiTheme="majorHAnsi" w:hAnsiTheme="majorHAnsi"/>
          <w:sz w:val="26"/>
          <w:szCs w:val="26"/>
        </w:rPr>
      </w:pPr>
      <w:r w:rsidRPr="00AE5CD3">
        <w:rPr>
          <w:rFonts w:asciiTheme="majorHAnsi" w:hAnsiTheme="majorHAnsi"/>
          <w:sz w:val="26"/>
          <w:szCs w:val="26"/>
        </w:rPr>
        <w:t>13.2</w:t>
      </w:r>
      <w:r w:rsidR="005A1B22" w:rsidRPr="00AE5CD3">
        <w:rPr>
          <w:rFonts w:asciiTheme="majorHAnsi" w:hAnsiTheme="majorHAnsi"/>
          <w:sz w:val="26"/>
          <w:szCs w:val="26"/>
        </w:rPr>
        <w:t>.  Допустими проекти</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Допустими проекти по приоритетна ос 2 „Предприемачество и капацитет за растеж на МСП“:</w:t>
      </w:r>
    </w:p>
    <w:p w:rsidR="00CF63C0"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b/>
          <w:i/>
          <w:sz w:val="24"/>
        </w:rPr>
      </w:pPr>
      <w:r w:rsidRPr="00AE5CD3">
        <w:rPr>
          <w:rFonts w:asciiTheme="majorHAnsi" w:eastAsia="Times New Roman" w:hAnsiTheme="majorHAnsi"/>
          <w:b/>
          <w:i/>
          <w:sz w:val="24"/>
        </w:rPr>
        <w:t>1. Изпълнението на проектите следва да води до постигане на заложените цели</w:t>
      </w:r>
      <w:r w:rsidR="007F0892" w:rsidRPr="00AE5CD3">
        <w:rPr>
          <w:rFonts w:asciiTheme="majorHAnsi" w:eastAsia="Times New Roman" w:hAnsiTheme="majorHAnsi"/>
          <w:b/>
          <w:i/>
          <w:sz w:val="24"/>
        </w:rPr>
        <w:t>, посочени в Раздел 6. от Настоящите условия и в  Стратегията за ВОМР</w:t>
      </w:r>
      <w:r w:rsidRPr="00AE5CD3">
        <w:rPr>
          <w:rFonts w:asciiTheme="majorHAnsi" w:eastAsia="Times New Roman" w:hAnsiTheme="majorHAnsi"/>
          <w:b/>
          <w:i/>
          <w:sz w:val="24"/>
        </w:rPr>
        <w:t xml:space="preserve"> и постигане на положителен ефект върху развитието на устойчива пазарна конкурентоспособност на МСП на територията на МИГ </w:t>
      </w:r>
      <w:r w:rsidR="001E3EB5" w:rsidRPr="00AE5CD3">
        <w:rPr>
          <w:rFonts w:asciiTheme="majorHAnsi" w:eastAsia="Times New Roman" w:hAnsiTheme="majorHAnsi"/>
          <w:b/>
          <w:i/>
          <w:sz w:val="24"/>
        </w:rPr>
        <w:t>Кирково-Златоград</w:t>
      </w:r>
      <w:r w:rsidRPr="00AE5CD3">
        <w:rPr>
          <w:rFonts w:asciiTheme="majorHAnsi" w:eastAsia="Times New Roman" w:hAnsiTheme="majorHAnsi"/>
          <w:b/>
          <w:i/>
          <w:sz w:val="24"/>
        </w:rPr>
        <w:t xml:space="preserve"> с цел насърчаване на предприемачеството, подобряване на производствените процеси, повишаване на производствения капацитет и засилване на експортния потенциал на предприятията.</w:t>
      </w:r>
    </w:p>
    <w:p w:rsidR="00CF63C0" w:rsidRPr="00AE5CD3" w:rsidRDefault="00CF63C0"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b/>
          <w:i/>
          <w:sz w:val="24"/>
        </w:rPr>
      </w:pPr>
    </w:p>
    <w:p w:rsidR="005A1B22"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b/>
          <w:i/>
          <w:sz w:val="24"/>
        </w:rPr>
      </w:pPr>
      <w:r w:rsidRPr="00AE5CD3">
        <w:rPr>
          <w:rFonts w:asciiTheme="majorHAnsi" w:eastAsia="Times New Roman" w:hAnsiTheme="majorHAnsi"/>
          <w:b/>
          <w:i/>
          <w:sz w:val="24"/>
        </w:rPr>
        <w:t>2. Проектите са в съответствие с хоризонталните политики съгласно чл. 7 и чл. 8 на Регламент (ЕС) № 1303/2013 на Европейския парламент и на Съвета.</w:t>
      </w:r>
    </w:p>
    <w:p w:rsidR="00CF63C0" w:rsidRPr="00AE5CD3" w:rsidRDefault="00CF63C0"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b/>
          <w:i/>
          <w:sz w:val="24"/>
        </w:rPr>
      </w:pP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b/>
          <w:i/>
          <w:sz w:val="24"/>
        </w:rPr>
      </w:pPr>
      <w:r w:rsidRPr="00AE5CD3">
        <w:rPr>
          <w:rFonts w:asciiTheme="majorHAnsi" w:eastAsia="Times New Roman" w:hAnsiTheme="majorHAnsi"/>
          <w:b/>
          <w:i/>
          <w:sz w:val="24"/>
        </w:rPr>
        <w:t xml:space="preserve">3. </w:t>
      </w:r>
      <w:r w:rsidR="000E67F3">
        <w:rPr>
          <w:rFonts w:asciiTheme="majorHAnsi" w:eastAsia="Times New Roman" w:hAnsiTheme="majorHAnsi"/>
          <w:b/>
          <w:i/>
          <w:sz w:val="24"/>
        </w:rPr>
        <w:t xml:space="preserve">Дейностите по проектите попадат в обхвата на </w:t>
      </w:r>
      <w:r w:rsidR="00250135">
        <w:rPr>
          <w:rFonts w:asciiTheme="majorHAnsi" w:eastAsia="Times New Roman" w:hAnsiTheme="majorHAnsi"/>
          <w:b/>
          <w:i/>
          <w:sz w:val="24"/>
        </w:rPr>
        <w:t xml:space="preserve">определените </w:t>
      </w:r>
      <w:r w:rsidR="00094E1B">
        <w:rPr>
          <w:rFonts w:asciiTheme="majorHAnsi" w:eastAsia="Times New Roman" w:hAnsiTheme="majorHAnsi"/>
          <w:b/>
          <w:i/>
          <w:sz w:val="24"/>
        </w:rPr>
        <w:t>в</w:t>
      </w:r>
      <w:r w:rsidR="00250135">
        <w:rPr>
          <w:rFonts w:asciiTheme="majorHAnsi" w:eastAsia="Times New Roman" w:hAnsiTheme="majorHAnsi"/>
          <w:b/>
          <w:i/>
          <w:sz w:val="24"/>
        </w:rPr>
        <w:t xml:space="preserve"> Националната стратегия </w:t>
      </w:r>
      <w:r w:rsidR="00250135" w:rsidRPr="00250135">
        <w:rPr>
          <w:rFonts w:asciiTheme="majorHAnsi" w:eastAsia="Times New Roman" w:hAnsiTheme="majorHAnsi"/>
          <w:b/>
          <w:i/>
          <w:sz w:val="24"/>
        </w:rPr>
        <w:t>за насърчаване на малките и средните предприятия 2014-2020 сектори по Инвестиционен приоритет 2.2 „Капацитет за растеж на МСП”</w:t>
      </w:r>
      <w:r w:rsidRPr="00AE5CD3">
        <w:rPr>
          <w:rFonts w:asciiTheme="majorHAnsi" w:eastAsia="Times New Roman" w:hAnsiTheme="majorHAnsi"/>
          <w:b/>
          <w:i/>
          <w:sz w:val="24"/>
        </w:rPr>
        <w:t>съгласно тяхната технологична интензивност</w:t>
      </w:r>
      <w:r w:rsidR="00250135">
        <w:rPr>
          <w:rFonts w:asciiTheme="majorHAnsi" w:eastAsia="Times New Roman" w:hAnsiTheme="majorHAnsi"/>
          <w:b/>
          <w:i/>
          <w:sz w:val="24"/>
        </w:rPr>
        <w:t xml:space="preserve">. </w:t>
      </w:r>
    </w:p>
    <w:p w:rsidR="00025E18" w:rsidRDefault="00025E18">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p>
    <w:p w:rsidR="005A1B22" w:rsidRPr="00AE5CD3" w:rsidRDefault="005A1B22" w:rsidP="008119B6">
      <w:pPr>
        <w:pStyle w:val="30"/>
        <w:spacing w:before="0" w:line="240" w:lineRule="auto"/>
        <w:rPr>
          <w:rFonts w:asciiTheme="majorHAnsi" w:hAnsiTheme="majorHAnsi"/>
          <w:sz w:val="26"/>
          <w:szCs w:val="26"/>
        </w:rPr>
      </w:pPr>
      <w:bookmarkStart w:id="72" w:name="_Toc476823150"/>
      <w:bookmarkStart w:id="73" w:name="_Toc514333707"/>
      <w:bookmarkStart w:id="74" w:name="_Toc514334547"/>
      <w:bookmarkStart w:id="75" w:name="_Toc514334639"/>
      <w:r w:rsidRPr="00AE5CD3">
        <w:rPr>
          <w:rFonts w:asciiTheme="majorHAnsi" w:hAnsiTheme="majorHAnsi"/>
          <w:sz w:val="26"/>
          <w:szCs w:val="26"/>
        </w:rPr>
        <w:t>13.</w:t>
      </w:r>
      <w:r w:rsidR="00D01902" w:rsidRPr="00AE5CD3">
        <w:rPr>
          <w:rFonts w:asciiTheme="majorHAnsi" w:hAnsiTheme="majorHAnsi"/>
          <w:sz w:val="26"/>
          <w:szCs w:val="26"/>
        </w:rPr>
        <w:t>3</w:t>
      </w:r>
      <w:r w:rsidRPr="00AE5CD3">
        <w:rPr>
          <w:rFonts w:asciiTheme="majorHAnsi" w:hAnsiTheme="majorHAnsi"/>
          <w:sz w:val="26"/>
          <w:szCs w:val="26"/>
        </w:rPr>
        <w:t>. Недопустими дейности</w:t>
      </w:r>
      <w:bookmarkEnd w:id="72"/>
      <w:bookmarkEnd w:id="73"/>
      <w:bookmarkEnd w:id="74"/>
      <w:bookmarkEnd w:id="75"/>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Недопустими по процедурата са следните видове дейности: </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дейности, чието изпълнение е стартирало преди подаване на проектното предложение;</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дейности, извършени след изтичане на крайния срок за изпълнение на дейностите по проекта;</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дейности, които вече са финансирани от други публични източници;</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закупуване на дълготрайни активи втора употреба и на дълготрайни активи, които не са заведени за първи път от получателя на помощта (закупени от първи доставчик или производител);</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 xml:space="preserve">закупуване на дълготрайни материални активи и дълготрайни нематериални активи, които не са пряко свързани с постигане на целите на проекта; </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 xml:space="preserve">закупуване и/или доставка на ресурси за производство, имащи характер на стоково-материални запаси (суровини, материали, полуобработени компоненти, консумативи за производството, резервни части); </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закупуване или наемане на транспортни средства и съоръжения;</w:t>
      </w:r>
    </w:p>
    <w:p w:rsidR="005A1B22" w:rsidRPr="00806615" w:rsidRDefault="005A1B22" w:rsidP="00806615">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806615">
        <w:rPr>
          <w:rFonts w:asciiTheme="majorHAnsi" w:hAnsiTheme="majorHAnsi"/>
          <w:sz w:val="24"/>
          <w:szCs w:val="24"/>
        </w:rPr>
        <w:t>придобиването на товарни автомобили за сухопътен транспорт;</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всички дейности, които не са сред посочените като допустими;</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всякакви дейности от търговски характер, генериращи печалба за кандидата;</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дейности, извършени в нарушение на правилата за държавни помощи;</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одит на проекта;</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участие в семинари, работни срещи, изложения;</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консултантски, юридически и счетоводни услуги от общ характер;</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изработване на общи пазарни анализи, проучвания, маркетингови планове;</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 xml:space="preserve">реклама на новите технологии, процеси, продукти/услуги – включително и не само публикуване на обяви в периодични издания, изработка и излъчване на рекламни спотове (радио и телевизионни) и др., различни от тези, които бенефициентите могат да прилагат при изпълнение на проекти, финансирани от ЕСИФ и посочени в </w:t>
      </w:r>
      <w:r w:rsidRPr="00AE5CD3">
        <w:rPr>
          <w:rFonts w:asciiTheme="majorHAnsi" w:hAnsiTheme="majorHAnsi"/>
          <w:sz w:val="24"/>
          <w:szCs w:val="24"/>
        </w:rPr>
        <w:lastRenderedPageBreak/>
        <w:t>„Единния наръчник на бенефициента за прилагане на правилата за информация и комуникация” 2014-2020;</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други дейности извън обхвата на допустимите дейности и непопадащи в приложното поле на Постановление № 189 на Министерския съвет от 05.08.2016 г. за определяне на национални правила за допустимост на разходите по програмите, съфинансирани от Европейския фонд за регионално развитие, Европейските структурни и инвестиционни фондове, за програмния период 2014 – 2020 г. (ПМС 189/2016), и обхвата на Регламент (ЕС) № 1301/2013 на Европейския парламент и на Съвета от 17 декември 2013 година относно Европейския фонд за регионално развитие и специални разпоредби по отношение на целта „Инвестиции за растеж и работни места“, и за отмяна на Регламент (ЕО) № 1080/2006 (Регламент (ЕС) № 1301/2013).</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Разходи за финансиране на недопустими дейности няма да бъдат възстановявани от ОПИК.</w:t>
      </w:r>
    </w:p>
    <w:p w:rsidR="005A1B22" w:rsidRPr="00AE5CD3" w:rsidRDefault="005A1B22" w:rsidP="008119B6">
      <w:pPr>
        <w:pStyle w:val="20"/>
        <w:spacing w:before="0" w:line="240" w:lineRule="auto"/>
        <w:rPr>
          <w:rFonts w:asciiTheme="majorHAnsi" w:hAnsiTheme="majorHAnsi"/>
        </w:rPr>
      </w:pPr>
      <w:bookmarkStart w:id="76" w:name="_Toc476823151"/>
    </w:p>
    <w:p w:rsidR="005A1B22" w:rsidRPr="00AE5CD3" w:rsidRDefault="005A1B22" w:rsidP="008119B6">
      <w:pPr>
        <w:pStyle w:val="20"/>
        <w:spacing w:before="0" w:line="240" w:lineRule="auto"/>
        <w:rPr>
          <w:rFonts w:asciiTheme="majorHAnsi" w:hAnsiTheme="majorHAnsi"/>
        </w:rPr>
      </w:pPr>
      <w:bookmarkStart w:id="77" w:name="_Toc514333708"/>
      <w:bookmarkStart w:id="78" w:name="_Toc514334548"/>
      <w:bookmarkStart w:id="79" w:name="_Toc514334640"/>
      <w:r w:rsidRPr="00AE5CD3">
        <w:rPr>
          <w:rFonts w:asciiTheme="majorHAnsi" w:hAnsiTheme="majorHAnsi"/>
        </w:rPr>
        <w:t>14. Категории разходи, допустими за финансиране</w:t>
      </w:r>
      <w:bookmarkEnd w:id="76"/>
      <w:bookmarkEnd w:id="77"/>
      <w:bookmarkEnd w:id="78"/>
      <w:bookmarkEnd w:id="79"/>
    </w:p>
    <w:p w:rsidR="003F2B33" w:rsidRPr="00AE5CD3" w:rsidRDefault="003F2B33" w:rsidP="008119B6">
      <w:pPr>
        <w:pStyle w:val="20"/>
        <w:spacing w:before="0" w:line="240" w:lineRule="auto"/>
        <w:rPr>
          <w:rFonts w:asciiTheme="majorHAnsi" w:hAnsiTheme="majorHAnsi"/>
        </w:rPr>
      </w:pPr>
      <w:r w:rsidRPr="00AE5CD3">
        <w:rPr>
          <w:rFonts w:asciiTheme="majorHAnsi" w:hAnsiTheme="majorHAnsi"/>
        </w:rPr>
        <w:t xml:space="preserve">14.1 Нормативна база </w:t>
      </w:r>
    </w:p>
    <w:p w:rsidR="005A1B22" w:rsidRPr="00AE5CD3" w:rsidRDefault="005A1B22" w:rsidP="008119B6">
      <w:pPr>
        <w:pStyle w:val="23"/>
        <w:pBdr>
          <w:top w:val="single" w:sz="4" w:space="1" w:color="auto"/>
          <w:left w:val="single" w:sz="4" w:space="1" w:color="auto"/>
          <w:bottom w:val="single" w:sz="4" w:space="1" w:color="auto"/>
          <w:right w:val="single" w:sz="4" w:space="1" w:color="auto"/>
        </w:pBdr>
        <w:spacing w:line="240" w:lineRule="auto"/>
        <w:ind w:left="0"/>
        <w:jc w:val="both"/>
        <w:rPr>
          <w:rFonts w:asciiTheme="majorHAnsi" w:hAnsiTheme="majorHAnsi"/>
          <w:color w:val="000000"/>
          <w:sz w:val="24"/>
          <w:szCs w:val="24"/>
        </w:rPr>
      </w:pPr>
      <w:r w:rsidRPr="00AE5CD3">
        <w:rPr>
          <w:rFonts w:asciiTheme="majorHAnsi" w:hAnsiTheme="majorHAnsi"/>
          <w:sz w:val="24"/>
          <w:szCs w:val="24"/>
        </w:rPr>
        <w:t xml:space="preserve">При предоставяне на безвъзмездна финансова помощ по настоящата процедура ще бъдат взети под внимание само „допустимите разходи” в съответствие с предвидените мерки/операции по  приоритетна ос 2 „Предприемачество и капацитет за растеж на МСП“ в стратегията за местно </w:t>
      </w:r>
      <w:r w:rsidRPr="00AE5CD3">
        <w:rPr>
          <w:rFonts w:asciiTheme="majorHAnsi" w:hAnsiTheme="majorHAnsi"/>
          <w:color w:val="000000"/>
          <w:sz w:val="24"/>
          <w:szCs w:val="24"/>
        </w:rPr>
        <w:t xml:space="preserve">развитие и относимото законодателство. При предоставяне на безвъзмездна финансова помощ ще бъдат взети под внимание само „допустимите разходи”, описани във Формуляра за кандидатстване. Бюджетът представлява както предварителна оценка на очакваните разходи, така и максимален размер на допустимите разходи. По време на оценката на проектните предложения е възможно да бъдат установени обстоятелства, които да налагат промяна в бюджета. Възможните изменения на бюджета </w:t>
      </w:r>
      <w:r w:rsidRPr="00AE5CD3">
        <w:rPr>
          <w:rFonts w:asciiTheme="majorHAnsi" w:hAnsiTheme="majorHAnsi"/>
          <w:b/>
          <w:color w:val="000000"/>
          <w:sz w:val="24"/>
          <w:szCs w:val="24"/>
        </w:rPr>
        <w:t>не могат</w:t>
      </w:r>
      <w:r w:rsidRPr="00AE5CD3">
        <w:rPr>
          <w:rFonts w:asciiTheme="majorHAnsi" w:hAnsiTheme="majorHAnsi"/>
          <w:color w:val="000000"/>
          <w:sz w:val="24"/>
          <w:szCs w:val="24"/>
        </w:rPr>
        <w:t xml:space="preserve"> да доведат до увеличаване на сумата на исканата безвъзмездна помощ по настоящата процедура.</w:t>
      </w:r>
    </w:p>
    <w:p w:rsidR="005A1B22" w:rsidRPr="00AE5CD3" w:rsidRDefault="005A1B22" w:rsidP="008119B6">
      <w:pPr>
        <w:pStyle w:val="23"/>
        <w:pBdr>
          <w:top w:val="single" w:sz="4" w:space="1" w:color="auto"/>
          <w:left w:val="single" w:sz="4" w:space="1" w:color="auto"/>
          <w:bottom w:val="single" w:sz="4" w:space="1" w:color="auto"/>
          <w:right w:val="single" w:sz="4" w:space="1" w:color="auto"/>
        </w:pBdr>
        <w:spacing w:line="240" w:lineRule="auto"/>
        <w:ind w:left="0"/>
        <w:jc w:val="both"/>
        <w:rPr>
          <w:rFonts w:asciiTheme="majorHAnsi" w:hAnsiTheme="majorHAnsi"/>
          <w:color w:val="FF0000"/>
          <w:sz w:val="24"/>
          <w:szCs w:val="24"/>
        </w:rPr>
      </w:pPr>
    </w:p>
    <w:p w:rsidR="005A1B22" w:rsidRPr="00AE5CD3" w:rsidRDefault="005A1B22" w:rsidP="008119B6">
      <w:pPr>
        <w:pStyle w:val="23"/>
        <w:pBdr>
          <w:top w:val="single" w:sz="4" w:space="1" w:color="auto"/>
          <w:left w:val="single" w:sz="4" w:space="1" w:color="auto"/>
          <w:bottom w:val="single" w:sz="4" w:space="1" w:color="auto"/>
          <w:right w:val="single" w:sz="4" w:space="1" w:color="auto"/>
        </w:pBdr>
        <w:spacing w:line="240" w:lineRule="auto"/>
        <w:ind w:left="0"/>
        <w:jc w:val="both"/>
        <w:rPr>
          <w:rFonts w:asciiTheme="majorHAnsi" w:hAnsiTheme="majorHAnsi"/>
          <w:sz w:val="24"/>
          <w:szCs w:val="24"/>
        </w:rPr>
      </w:pPr>
      <w:r w:rsidRPr="00AE5CD3">
        <w:rPr>
          <w:rFonts w:asciiTheme="majorHAnsi" w:hAnsiTheme="majorHAnsi"/>
          <w:b/>
          <w:sz w:val="24"/>
          <w:szCs w:val="24"/>
        </w:rPr>
        <w:t>ВАЖНО:</w:t>
      </w:r>
      <w:r w:rsidRPr="00AE5CD3">
        <w:rPr>
          <w:rFonts w:asciiTheme="majorHAnsi" w:hAnsiTheme="majorHAnsi"/>
          <w:sz w:val="24"/>
          <w:szCs w:val="24"/>
        </w:rPr>
        <w:t xml:space="preserve"> Във връзка със спазването на принципа за недопускане под никаква форма на реализиране на печалба от безвъзмездните финансови средства, печалбата подлежи на възстановяване.</w:t>
      </w:r>
      <w:r w:rsidR="00D01902" w:rsidRPr="00AE5CD3">
        <w:rPr>
          <w:rStyle w:val="ae"/>
          <w:rFonts w:asciiTheme="majorHAnsi" w:hAnsiTheme="majorHAnsi"/>
          <w:sz w:val="24"/>
          <w:szCs w:val="24"/>
        </w:rPr>
        <w:footnoteReference w:id="10"/>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b/>
          <w:sz w:val="24"/>
          <w:szCs w:val="24"/>
        </w:rPr>
      </w:pPr>
      <w:r w:rsidRPr="00AE5CD3">
        <w:rPr>
          <w:rFonts w:asciiTheme="majorHAnsi" w:hAnsiTheme="majorHAnsi"/>
          <w:b/>
          <w:sz w:val="24"/>
          <w:szCs w:val="24"/>
        </w:rPr>
        <w:t>Разходите са допустими за финансиране, в случай че отговарят на разпоредбите на:</w:t>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w:t>
      </w:r>
      <w:r w:rsidRPr="00AE5CD3">
        <w:rPr>
          <w:rFonts w:asciiTheme="majorHAnsi" w:hAnsiTheme="majorHAnsi"/>
          <w:sz w:val="24"/>
          <w:szCs w:val="24"/>
        </w:rPr>
        <w:tab/>
        <w:t>Регламент (ЕС) № 1301/2013 на Европейския парламент и Съвета относно Европейския фонд за регионално развитие и специални разпоредби по отношение на целта „Инвестиции за растеж и работни места“, и за отмяна на Регламент (ЕО) № 1080/2006;-</w:t>
      </w:r>
      <w:r w:rsidRPr="00AE5CD3">
        <w:rPr>
          <w:rFonts w:asciiTheme="majorHAnsi" w:hAnsiTheme="majorHAnsi"/>
          <w:sz w:val="24"/>
          <w:szCs w:val="24"/>
        </w:rPr>
        <w:tab/>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 •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w:t>
      </w:r>
      <w:r w:rsidRPr="00AE5CD3">
        <w:rPr>
          <w:rFonts w:asciiTheme="majorHAnsi" w:hAnsiTheme="majorHAnsi"/>
          <w:sz w:val="24"/>
          <w:szCs w:val="24"/>
        </w:rPr>
        <w:lastRenderedPageBreak/>
        <w:t xml:space="preserve">фонд за морско дело и рибарство, и за отмяна на Регламент (ЕО) № 1083/2006 на Съвета; </w:t>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w:t>
      </w:r>
      <w:r w:rsidRPr="00AE5CD3">
        <w:rPr>
          <w:rFonts w:asciiTheme="majorHAnsi" w:hAnsiTheme="majorHAnsi"/>
          <w:sz w:val="24"/>
          <w:szCs w:val="24"/>
        </w:rPr>
        <w:tab/>
        <w:t>Закон за управление на средствата от Европейските структурни и инвестиционни фондове (ЗУСЕСИФ);</w:t>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w:t>
      </w:r>
      <w:r w:rsidRPr="00AE5CD3">
        <w:rPr>
          <w:rFonts w:asciiTheme="majorHAnsi" w:hAnsiTheme="majorHAnsi"/>
          <w:sz w:val="24"/>
          <w:szCs w:val="24"/>
        </w:rPr>
        <w:tab/>
        <w:t xml:space="preserve">Постановление № 189 от 28 юли 2016 г.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2014 - 2020 г.; </w:t>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w:t>
      </w:r>
      <w:r w:rsidRPr="00AE5CD3">
        <w:rPr>
          <w:rFonts w:asciiTheme="majorHAnsi" w:hAnsiTheme="majorHAnsi"/>
          <w:sz w:val="24"/>
          <w:szCs w:val="24"/>
        </w:rPr>
        <w:tab/>
        <w:t>законови и подзаконови  нормативни актове от приложимото право на Европейския съюз и българското законодателство.</w:t>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eastAsia="Times New Roman" w:hAnsiTheme="majorHAnsi"/>
          <w:sz w:val="24"/>
        </w:rPr>
        <w:t>Съгласно чл. 57, ал. 1 от ЗУСЕСИФ разходите се считат за допустими, ако са налице едновременно следните условия:</w:t>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eastAsia="Times New Roman" w:hAnsiTheme="majorHAnsi"/>
          <w:sz w:val="24"/>
        </w:rPr>
        <w:t>1. 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w:t>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eastAsia="Times New Roman" w:hAnsiTheme="majorHAnsi"/>
          <w:sz w:val="24"/>
        </w:rPr>
        <w:t>2. разходите попадат в документите по чл. 26, ал. 1 и в одобрения проект категории разходи;</w:t>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eastAsia="Times New Roman" w:hAnsiTheme="majorHAnsi"/>
          <w:sz w:val="24"/>
        </w:rPr>
        <w:t>3. разходите са за реално доставени продукти, извършени услуги и строителни дейности;</w:t>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eastAsia="Times New Roman" w:hAnsiTheme="majorHAnsi"/>
          <w:sz w:val="24"/>
        </w:rPr>
        <w:t>4. разходите са извършени законосъобразно съгласно приложимото право на Европейския съюз и българското законодателство;</w:t>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eastAsia="Times New Roman" w:hAnsiTheme="majorHAnsi"/>
          <w:sz w:val="24"/>
        </w:rPr>
        <w:t>5. разходите са отразени в счетоводната документация на бенефициента чрез отделни счетоводни аналитични сметки или в отделна счетоводна система;</w:t>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eastAsia="Times New Roman" w:hAnsiTheme="majorHAnsi"/>
          <w:sz w:val="24"/>
        </w:rPr>
        <w:t xml:space="preserve">6. за направените разходи е налична одитна следа съгласно минималните изисквания на чл. 25 от Делегиран регламент (ЕС) № 480/2014 на Комисията от 3 март </w:t>
      </w:r>
      <w:smartTag w:uri="urn:schemas-microsoft-com:office:smarttags" w:element="metricconverter">
        <w:smartTagPr>
          <w:attr w:name="ProductID" w:val="2014 г"/>
        </w:smartTagPr>
        <w:r w:rsidRPr="00AE5CD3">
          <w:rPr>
            <w:rFonts w:asciiTheme="majorHAnsi" w:eastAsia="Times New Roman" w:hAnsiTheme="majorHAnsi"/>
            <w:sz w:val="24"/>
          </w:rPr>
          <w:t>2014 г</w:t>
        </w:r>
      </w:smartTag>
      <w:r w:rsidRPr="00AE5CD3">
        <w:rPr>
          <w:rFonts w:asciiTheme="majorHAnsi" w:eastAsia="Times New Roman" w:hAnsiTheme="majorHAnsi"/>
          <w:sz w:val="24"/>
        </w:rPr>
        <w:t xml:space="preserve">.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(ОВ, L 138/5 от 13 май </w:t>
      </w:r>
      <w:smartTag w:uri="urn:schemas-microsoft-com:office:smarttags" w:element="metricconverter">
        <w:smartTagPr>
          <w:attr w:name="ProductID" w:val="2014 г"/>
        </w:smartTagPr>
        <w:r w:rsidRPr="00AE5CD3">
          <w:rPr>
            <w:rFonts w:asciiTheme="majorHAnsi" w:eastAsia="Times New Roman" w:hAnsiTheme="majorHAnsi"/>
            <w:sz w:val="24"/>
          </w:rPr>
          <w:t>2014 г</w:t>
        </w:r>
      </w:smartTag>
      <w:r w:rsidRPr="00AE5CD3">
        <w:rPr>
          <w:rFonts w:asciiTheme="majorHAnsi" w:eastAsia="Times New Roman" w:hAnsiTheme="majorHAnsi"/>
          <w:sz w:val="24"/>
        </w:rPr>
        <w:t>.) и са спазени изискванията за съхраняване на документите съгласно чл. 140 от Регламент (ЕС) № 1303/2013;</w:t>
      </w:r>
    </w:p>
    <w:p w:rsidR="005A1B22" w:rsidRPr="00AE5CD3" w:rsidRDefault="005A1B22" w:rsidP="008119B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eastAsia="Times New Roman" w:hAnsiTheme="majorHAnsi"/>
          <w:sz w:val="24"/>
        </w:rPr>
        <w:t>7. разходите са съобразени с приложимите правила за предоставяне на държавни помощи.</w:t>
      </w:r>
    </w:p>
    <w:p w:rsidR="00CE6534" w:rsidRDefault="00CE6534" w:rsidP="001C20D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imes New Roman" w:eastAsia="Times New Roman" w:hAnsi="Times New Roman"/>
          <w:sz w:val="24"/>
          <w:shd w:val="clear" w:color="auto" w:fill="FEFEFE"/>
        </w:rPr>
      </w:pPr>
    </w:p>
    <w:p w:rsidR="005A1B22" w:rsidRPr="00AE5CD3" w:rsidRDefault="005A1B22" w:rsidP="001C20D6">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eastAsia="Times New Roman" w:hAnsiTheme="majorHAnsi"/>
          <w:sz w:val="24"/>
        </w:rPr>
        <w:t>За разходите, за които в нормативната уредба са предвидени ограничения в размера им, допустими за финансиране е частта от разхода, до размера на ограниченията. При подготовката на всяко проектно предложение, кандидатът следва да има предвид, че процентните ограничения се налагат върху реално извършените, разплатени, верифицирани и сертифицирани допустими разходи и се приравняват при окончателното плащане.</w:t>
      </w:r>
    </w:p>
    <w:p w:rsidR="005A1B22" w:rsidRPr="00AE5CD3" w:rsidRDefault="005A1B22" w:rsidP="008119B6">
      <w:pPr>
        <w:pStyle w:val="30"/>
        <w:spacing w:before="0" w:line="240" w:lineRule="auto"/>
        <w:rPr>
          <w:rFonts w:asciiTheme="majorHAnsi" w:hAnsiTheme="majorHAnsi"/>
          <w:sz w:val="26"/>
          <w:szCs w:val="26"/>
        </w:rPr>
      </w:pPr>
      <w:bookmarkStart w:id="80" w:name="_Toc476823152"/>
      <w:bookmarkStart w:id="81" w:name="_Toc514333709"/>
      <w:bookmarkStart w:id="82" w:name="_Toc514334549"/>
      <w:bookmarkStart w:id="83" w:name="_Toc514334641"/>
      <w:r w:rsidRPr="00AE5CD3">
        <w:rPr>
          <w:rFonts w:asciiTheme="majorHAnsi" w:hAnsiTheme="majorHAnsi"/>
          <w:sz w:val="26"/>
          <w:szCs w:val="26"/>
        </w:rPr>
        <w:t>14.</w:t>
      </w:r>
      <w:r w:rsidR="003F2B33" w:rsidRPr="00AE5CD3">
        <w:rPr>
          <w:rFonts w:asciiTheme="majorHAnsi" w:hAnsiTheme="majorHAnsi"/>
          <w:sz w:val="26"/>
          <w:szCs w:val="26"/>
        </w:rPr>
        <w:t>2</w:t>
      </w:r>
      <w:r w:rsidRPr="00AE5CD3">
        <w:rPr>
          <w:rFonts w:asciiTheme="majorHAnsi" w:hAnsiTheme="majorHAnsi"/>
          <w:sz w:val="26"/>
          <w:szCs w:val="26"/>
        </w:rPr>
        <w:t>.  Условия за допустимост на разходите</w:t>
      </w:r>
      <w:bookmarkEnd w:id="80"/>
      <w:bookmarkEnd w:id="81"/>
      <w:bookmarkEnd w:id="82"/>
      <w:bookmarkEnd w:id="83"/>
    </w:p>
    <w:p w:rsidR="005A1B22" w:rsidRPr="00AE5CD3" w:rsidRDefault="005A1B22" w:rsidP="008119B6">
      <w:pPr>
        <w:pStyle w:val="afd"/>
        <w:pBdr>
          <w:top w:val="single" w:sz="4" w:space="1" w:color="auto"/>
          <w:left w:val="single" w:sz="4" w:space="4" w:color="auto"/>
          <w:bottom w:val="single" w:sz="4" w:space="1" w:color="auto"/>
          <w:right w:val="single" w:sz="4" w:space="4" w:color="auto"/>
        </w:pBdr>
        <w:rPr>
          <w:rFonts w:asciiTheme="majorHAnsi" w:hAnsiTheme="majorHAnsi"/>
          <w:lang w:val="bg-BG"/>
        </w:rPr>
      </w:pPr>
      <w:r w:rsidRPr="00AE5CD3">
        <w:rPr>
          <w:rFonts w:asciiTheme="majorHAnsi" w:hAnsiTheme="majorHAnsi"/>
          <w:lang w:val="bg-BG"/>
        </w:rPr>
        <w:t>За да бъдат допустими разходите по настоящата процедура за предоставяне на безвъзмездна финансова помощ трябва да отговарят на следните условия:</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b/>
          <w:lang w:val="bg-BG"/>
        </w:rPr>
        <w:t>1/</w:t>
      </w:r>
      <w:r w:rsidRPr="00AE5CD3">
        <w:rPr>
          <w:rFonts w:asciiTheme="majorHAnsi" w:hAnsiTheme="majorHAnsi"/>
          <w:lang w:val="bg-BG"/>
        </w:rPr>
        <w:t xml:space="preserve"> Да са необходими за изпълнението на проекта и да отговарят на принципите </w:t>
      </w:r>
      <w:r w:rsidRPr="00AE5CD3">
        <w:rPr>
          <w:rFonts w:asciiTheme="majorHAnsi" w:hAnsiTheme="majorHAnsi"/>
          <w:i/>
          <w:lang w:val="bg-BG"/>
        </w:rPr>
        <w:t>за добро финансово управление – икономичност, ефикасност и ефективност на вложените средства.</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color w:val="FF0000"/>
          <w:lang w:val="bg-BG"/>
        </w:rPr>
      </w:pPr>
      <w:r w:rsidRPr="00AE5CD3">
        <w:rPr>
          <w:rFonts w:asciiTheme="majorHAnsi" w:hAnsiTheme="majorHAnsi"/>
          <w:color w:val="000000"/>
          <w:lang w:val="bg-BG"/>
        </w:rPr>
        <w:t>Разход, който не е обоснован,ще бъде премахнат от бюджета на проекта служебно от Оценителната комисия.</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lastRenderedPageBreak/>
        <w:t>С цел определяне на реалистичността на предвидените разходи за закупуване на активи, кандидатът следва да приложи към Формуляра за кандидатстване оферта от производител или първи доставчик</w:t>
      </w:r>
      <w:r w:rsidR="003F2B33" w:rsidRPr="00AE5CD3">
        <w:rPr>
          <w:rStyle w:val="ae"/>
          <w:rFonts w:asciiTheme="majorHAnsi" w:hAnsiTheme="majorHAnsi"/>
          <w:lang w:val="bg-BG"/>
        </w:rPr>
        <w:footnoteReference w:id="11"/>
      </w:r>
      <w:r w:rsidRPr="00AE5CD3">
        <w:rPr>
          <w:rFonts w:asciiTheme="majorHAnsi" w:hAnsiTheme="majorHAnsi"/>
          <w:b/>
          <w:lang w:val="bg-BG"/>
        </w:rPr>
        <w:t>за всяка</w:t>
      </w:r>
      <w:r w:rsidRPr="00AE5CD3">
        <w:rPr>
          <w:rFonts w:asciiTheme="majorHAnsi" w:hAnsiTheme="majorHAnsi"/>
          <w:lang w:val="bg-BG"/>
        </w:rPr>
        <w:t xml:space="preserve"> отделна инвестиции в ДМА и/или ДНА с предложена цена от производителя/първия доставчик. За да удостоверят, че представените от тях оферти за дълготрайни активи отговарят на изискването да с</w:t>
      </w:r>
      <w:r w:rsidR="003F2B33" w:rsidRPr="00AE5CD3">
        <w:rPr>
          <w:rFonts w:asciiTheme="majorHAnsi" w:hAnsiTheme="majorHAnsi"/>
          <w:lang w:val="bg-BG"/>
        </w:rPr>
        <w:t>а</w:t>
      </w:r>
      <w:r w:rsidRPr="00AE5CD3">
        <w:rPr>
          <w:rFonts w:asciiTheme="majorHAnsi" w:hAnsiTheme="majorHAnsi"/>
          <w:lang w:val="bg-BG"/>
        </w:rPr>
        <w:t xml:space="preserve"> от производител или първи доставчик, кандидатите по процедурата следва да декларират обстоятелствата в Декларацията, че кандидатът е запознат с условията за кандидатстване и условията за изпълнение. В допълнение към декларирането на обстоятелствата при подаване на проектното предложение, кандидатите следва да представят и Декларация от производител/оторизационно писмо от първи доставчик/договор за търговско представителство между производител и първи доставчик или друг относим документ, от който да е видно, че е спазено изискването за предоставяне на оферта от производител или първи доставчик.</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В случаите, когато кандидатът (и след допълнително изискване) не е представил в изискуемия вид посочените документи, съответният разход ще бъде премахнат от бюджета на проекта служебно от Комисията за подбор. Горепосочените документи са индикативни и служат за оценка на реалистичността на заложените в бюджета на проектното предложение разходи за съответните активи. Кандидатите следва да посочат минимални технически и/или функционални характеристики на предвидените за закупуване активи, без да указват марки, модели и други конкретни технически спецификации, които насочват към определени производители, марки и модели.</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В случаите, когато кандидатът предвижда закупуване на цялостна линия за производство (технологична линия за производство), състояща се от няколко компонента (машини/съоръжения/оборудване), следва да се посочат видовете и броя на компонентите на линията, както и минимални технически и/или функционални характеристики на всеки компонент по отделно.</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В случаите, когато кандидатът не е посочил минимални технически и/или функционални характеристики на предвидените за закупуване активи или те не съответстват на посочените в офертата, съответният разход ще бъде премахнат от бюджета на проекта служебно от Комисията за подбор.</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В случаите, когато Комисията за подбор премахне всички разходи от бюджета на проекта, поради непредставяне на оферта, недопустими разходи или непосочване или несъответствие с минимални технически и/или функционални характеристики, проектното предложение се отхвърля. </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Заложените разходи следва да съответстват на представените пазарни цени. При проверка на съответствието на цени в чуждестранна валута, ще се взима предвид курсът на БНБ към датата на обявяване на процедурата.</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Оценката на допустимостта на разходите за дълготрайни материални и нематериални активи, посочени в бюджета на проектните предложения ще бъде извършвана съгласно стойностния праг на същественост за дълготрайните материални и нематериални активи, определен в чл. 50 и чл. 51 от Закона за корпоративно и подоходно облагане или съгласно счетоводната политика на предприятието-кандидат.</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eastAsia="Times New Roman" w:hAnsiTheme="majorHAnsi"/>
          <w:lang w:val="bg-BG"/>
        </w:rPr>
      </w:pPr>
      <w:r w:rsidRPr="00AE5CD3">
        <w:rPr>
          <w:rFonts w:asciiTheme="majorHAnsi" w:hAnsiTheme="majorHAnsi"/>
          <w:b/>
          <w:lang w:val="bg-BG"/>
        </w:rPr>
        <w:t>2/</w:t>
      </w:r>
      <w:r w:rsidRPr="00AE5CD3">
        <w:rPr>
          <w:rFonts w:asciiTheme="majorHAnsi" w:hAnsiTheme="majorHAnsi"/>
          <w:lang w:val="bg-BG"/>
        </w:rPr>
        <w:t xml:space="preserve"> Да бъдат извършени след датата на подаване на проектното предложение и до изтичане на крайния срок, определен за представяне на финалния отчет за изпълнение </w:t>
      </w:r>
      <w:r w:rsidRPr="00AE5CD3">
        <w:rPr>
          <w:rFonts w:asciiTheme="majorHAnsi" w:hAnsiTheme="majorHAnsi"/>
          <w:lang w:val="bg-BG"/>
        </w:rPr>
        <w:lastRenderedPageBreak/>
        <w:t>на дейностите по проекта.</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eastAsia="Times New Roman" w:hAnsiTheme="majorHAnsi"/>
          <w:lang w:val="bg-BG"/>
        </w:rPr>
      </w:pPr>
      <w:r w:rsidRPr="00AE5CD3">
        <w:rPr>
          <w:rFonts w:asciiTheme="majorHAnsi" w:hAnsiTheme="majorHAnsi"/>
          <w:b/>
          <w:lang w:val="bg-BG"/>
        </w:rPr>
        <w:t>ВАЖНО:</w:t>
      </w:r>
      <w:r w:rsidRPr="00AE5CD3">
        <w:rPr>
          <w:rFonts w:asciiTheme="majorHAnsi" w:hAnsiTheme="majorHAnsi"/>
          <w:lang w:val="bg-BG"/>
        </w:rPr>
        <w:t xml:space="preserve">Разходооправдателните документи следва да бъдат издадени в периода на допустимост на разходите по процедурата – след датата на подаване на проектното предложение и до изтичане на крайния срок, определен за предаване на междинния/финален отчет. </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eastAsia="Times New Roman" w:hAnsiTheme="majorHAnsi"/>
          <w:lang w:val="bg-BG"/>
        </w:rPr>
      </w:pPr>
      <w:r w:rsidRPr="00AE5CD3">
        <w:rPr>
          <w:rFonts w:asciiTheme="majorHAnsi" w:hAnsiTheme="majorHAnsi"/>
          <w:b/>
          <w:lang w:val="bg-BG"/>
        </w:rPr>
        <w:t>3/</w:t>
      </w:r>
      <w:r w:rsidRPr="00AE5CD3">
        <w:rPr>
          <w:rFonts w:asciiTheme="majorHAnsi" w:hAnsiTheme="majorHAnsi"/>
          <w:lang w:val="bg-BG"/>
        </w:rPr>
        <w:t xml:space="preserve"> За разходите да е налична адекватна одитна следа, включително да са спазени изискванията за съхраняване на документите по чл. 140 от Регламент (ЕС) № 1303/2013.</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eastAsia="Times New Roman" w:hAnsiTheme="majorHAnsi"/>
          <w:lang w:val="bg-BG"/>
        </w:rPr>
      </w:pPr>
      <w:r w:rsidRPr="00AE5CD3">
        <w:rPr>
          <w:rFonts w:asciiTheme="majorHAnsi" w:hAnsiTheme="majorHAnsi"/>
          <w:b/>
          <w:lang w:val="bg-BG"/>
        </w:rPr>
        <w:t>4/</w:t>
      </w:r>
      <w:r w:rsidRPr="00AE5CD3">
        <w:rPr>
          <w:rFonts w:asciiTheme="majorHAnsi" w:hAnsiTheme="majorHAnsi"/>
          <w:lang w:val="bg-BG"/>
        </w:rPr>
        <w:t xml:space="preserve"> Да са действително платени (т.е. да е платена цялата стойност на представените фактури или други първични счетоводни документи, включително стойността на ДДС), по банков път или в брой, не по-късно от датата на подаване на междинния/финалния отчет по проекта от страна на бенефициента. Разходи, подкрепени с протоколи за прихващане, не се считат за допустими.</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eastAsia="Times New Roman" w:hAnsiTheme="majorHAnsi"/>
          <w:lang w:val="bg-BG"/>
        </w:rPr>
      </w:pPr>
      <w:r w:rsidRPr="00AE5CD3">
        <w:rPr>
          <w:rFonts w:asciiTheme="majorHAnsi" w:hAnsiTheme="majorHAnsi"/>
          <w:b/>
          <w:lang w:val="bg-BG"/>
        </w:rPr>
        <w:t>5/</w:t>
      </w:r>
      <w:r w:rsidRPr="00AE5CD3">
        <w:rPr>
          <w:rFonts w:asciiTheme="majorHAnsi" w:hAnsiTheme="majorHAnsi"/>
          <w:lang w:val="bg-BG"/>
        </w:rPr>
        <w:t xml:space="preserve"> Да са отразени в счетоводната документация на бенефициента чрез отделни счетоводни аналитични сметки или в отделна счетоводна система.</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eastAsia="Times New Roman" w:hAnsiTheme="majorHAnsi"/>
          <w:lang w:val="bg-BG"/>
        </w:rPr>
      </w:pPr>
      <w:r w:rsidRPr="00AE5CD3">
        <w:rPr>
          <w:rFonts w:asciiTheme="majorHAnsi" w:hAnsiTheme="majorHAnsi"/>
          <w:b/>
          <w:lang w:val="bg-BG"/>
        </w:rPr>
        <w:t>6/</w:t>
      </w:r>
      <w:r w:rsidRPr="00AE5CD3">
        <w:rPr>
          <w:rFonts w:asciiTheme="majorHAnsi" w:hAnsiTheme="majorHAnsi"/>
          <w:lang w:val="bg-BG"/>
        </w:rPr>
        <w:t xml:space="preserve"> Да могат да се установят и проверят, да бъдат подкрепени от оригинални разходооправдателни документи.</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eastAsia="Times New Roman" w:hAnsiTheme="majorHAnsi"/>
          <w:lang w:val="bg-BG"/>
        </w:rPr>
      </w:pPr>
      <w:r w:rsidRPr="00AE5CD3">
        <w:rPr>
          <w:rFonts w:asciiTheme="majorHAnsi" w:hAnsiTheme="majorHAnsi"/>
          <w:b/>
          <w:lang w:val="bg-BG"/>
        </w:rPr>
        <w:t>7/</w:t>
      </w:r>
      <w:r w:rsidRPr="00AE5CD3">
        <w:rPr>
          <w:rFonts w:asciiTheme="majorHAnsi" w:hAnsiTheme="majorHAnsi"/>
          <w:lang w:val="bg-BG"/>
        </w:rPr>
        <w:t xml:space="preserve"> Да са за дейности, определени и извършени под отговорността на МИГ , Управляващия орган и съгласно критериите за подбор на операции, одобрени от Комитета за наблюдение. </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b/>
          <w:lang w:val="bg-BG"/>
        </w:rPr>
        <w:t>8/</w:t>
      </w:r>
      <w:r w:rsidRPr="00AE5CD3">
        <w:rPr>
          <w:rFonts w:asciiTheme="majorHAnsi" w:hAnsiTheme="majorHAnsi"/>
          <w:lang w:val="bg-BG"/>
        </w:rPr>
        <w:t xml:space="preserve"> Да са за реално доставени продукти и извършени услуги.</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eastAsia="Times New Roman" w:hAnsiTheme="majorHAnsi"/>
          <w:lang w:val="bg-BG"/>
        </w:rPr>
      </w:pP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Бюджетът (т. 5 от Формуляра за кандидатстване) трябва да отразява допустимите разходи, които са свързани с изпълнението на проекта. </w:t>
      </w:r>
    </w:p>
    <w:p w:rsidR="005A1B22"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b/>
          <w:lang w:val="bg-BG"/>
        </w:rPr>
        <w:t>ВАЖНО:</w:t>
      </w:r>
      <w:r w:rsidRPr="00AE5CD3">
        <w:rPr>
          <w:rFonts w:asciiTheme="majorHAnsi" w:hAnsiTheme="majorHAnsi"/>
          <w:lang w:val="bg-BG"/>
        </w:rPr>
        <w:t xml:space="preserve"> Данък върху добавената стойност е недопустим разход за даден проект, освен в случаите на данък върху добавената стойност, който не е възстановим </w:t>
      </w:r>
      <w:r w:rsidR="001B5E1E" w:rsidRPr="00AE5CD3">
        <w:rPr>
          <w:rFonts w:asciiTheme="majorHAnsi" w:hAnsiTheme="majorHAnsi"/>
          <w:lang w:val="bg-BG"/>
        </w:rPr>
        <w:t>съгласно националното</w:t>
      </w:r>
      <w:r w:rsidRPr="00AE5CD3">
        <w:rPr>
          <w:rFonts w:asciiTheme="majorHAnsi" w:hAnsiTheme="majorHAnsi"/>
          <w:lang w:val="bg-BG"/>
        </w:rPr>
        <w:t xml:space="preserve"> законодателство. Разходите за възстановим ДДС няма да се считат за собствено съфинансиране от страна на бенефициента.</w:t>
      </w:r>
    </w:p>
    <w:p w:rsidR="001B299D" w:rsidRPr="00AE5CD3" w:rsidRDefault="001B299D" w:rsidP="008119B6">
      <w:pPr>
        <w:pStyle w:val="afd"/>
        <w:pBdr>
          <w:top w:val="single" w:sz="4" w:space="1" w:color="auto"/>
          <w:left w:val="single" w:sz="4" w:space="4" w:color="auto"/>
          <w:bottom w:val="single" w:sz="4" w:space="1" w:color="auto"/>
          <w:right w:val="single" w:sz="4" w:space="4" w:color="auto"/>
        </w:pBdr>
        <w:jc w:val="both"/>
        <w:rPr>
          <w:rFonts w:asciiTheme="majorHAnsi" w:eastAsia="Times New Roman" w:hAnsiTheme="majorHAnsi"/>
          <w:lang w:val="bg-BG"/>
        </w:rPr>
      </w:pPr>
    </w:p>
    <w:p w:rsidR="005A1B22" w:rsidRPr="00AE5CD3" w:rsidRDefault="00CB4FB6" w:rsidP="008119B6">
      <w:pPr>
        <w:pStyle w:val="afd"/>
        <w:pBdr>
          <w:top w:val="single" w:sz="4" w:space="1" w:color="auto"/>
          <w:left w:val="single" w:sz="4" w:space="4" w:color="auto"/>
          <w:bottom w:val="single" w:sz="4" w:space="1" w:color="auto"/>
          <w:right w:val="single" w:sz="4" w:space="4" w:color="auto"/>
        </w:pBdr>
        <w:jc w:val="both"/>
        <w:rPr>
          <w:rFonts w:asciiTheme="majorHAnsi" w:eastAsia="Times New Roman" w:hAnsiTheme="majorHAnsi"/>
          <w:lang w:val="bg-BG"/>
        </w:rPr>
      </w:pPr>
      <w:r w:rsidRPr="00CB4FB6">
        <w:rPr>
          <w:rFonts w:asciiTheme="majorHAnsi" w:hAnsiTheme="majorHAnsi"/>
          <w:b/>
          <w:lang w:val="bg-BG" w:eastAsia="bg-BG"/>
        </w:rPr>
        <w:t>ВАЖНО:</w:t>
      </w:r>
      <w:r w:rsidR="005A1B22" w:rsidRPr="00AE5CD3">
        <w:rPr>
          <w:rFonts w:asciiTheme="majorHAnsi" w:hAnsiTheme="majorHAnsi"/>
          <w:lang w:val="bg-BG" w:eastAsia="bg-BG"/>
        </w:rPr>
        <w:t xml:space="preserve">Относно третирането на ДДС по процедурите за подбор на проекти МИГ прилага Указанията на министъра на финансите за третиране на ДДС като допустим разход при изпълнение на проекти по оперативните програми, съфинансирани от ЕФРР, ЕСФ, КФ и ЕФМР на ЕС за програмен период 2014-2020 в приложенията към Условията за изпълнение за всяка процедура за подбор на проекти (ДНФ № 3/23.12.2016 на Министерство на финансите относно третиране на ДДС). </w:t>
      </w:r>
    </w:p>
    <w:p w:rsidR="005A1B22" w:rsidRPr="00AE5CD3" w:rsidRDefault="005A1B22" w:rsidP="008119B6">
      <w:pPr>
        <w:pStyle w:val="30"/>
        <w:spacing w:before="0" w:line="240" w:lineRule="auto"/>
        <w:rPr>
          <w:rFonts w:asciiTheme="majorHAnsi" w:hAnsiTheme="majorHAnsi"/>
          <w:sz w:val="26"/>
          <w:szCs w:val="26"/>
        </w:rPr>
      </w:pPr>
      <w:bookmarkStart w:id="84" w:name="_Toc476823153"/>
      <w:bookmarkStart w:id="85" w:name="_Toc514333710"/>
      <w:bookmarkStart w:id="86" w:name="_Toc514334550"/>
      <w:bookmarkStart w:id="87" w:name="_Toc514334642"/>
      <w:r w:rsidRPr="00AE5CD3">
        <w:rPr>
          <w:rFonts w:asciiTheme="majorHAnsi" w:hAnsiTheme="majorHAnsi"/>
          <w:sz w:val="26"/>
          <w:szCs w:val="26"/>
        </w:rPr>
        <w:t>14.</w:t>
      </w:r>
      <w:r w:rsidR="003F2B33" w:rsidRPr="00AE5CD3">
        <w:rPr>
          <w:rFonts w:asciiTheme="majorHAnsi" w:hAnsiTheme="majorHAnsi"/>
          <w:sz w:val="26"/>
          <w:szCs w:val="26"/>
        </w:rPr>
        <w:t>3</w:t>
      </w:r>
      <w:r w:rsidRPr="00AE5CD3">
        <w:rPr>
          <w:rFonts w:asciiTheme="majorHAnsi" w:hAnsiTheme="majorHAnsi"/>
          <w:sz w:val="26"/>
          <w:szCs w:val="26"/>
        </w:rPr>
        <w:t>. Допустими</w:t>
      </w:r>
      <w:r w:rsidR="003F2B33" w:rsidRPr="00AE5CD3">
        <w:rPr>
          <w:rFonts w:asciiTheme="majorHAnsi" w:hAnsiTheme="majorHAnsi"/>
          <w:sz w:val="26"/>
          <w:szCs w:val="26"/>
        </w:rPr>
        <w:t xml:space="preserve"> категории </w:t>
      </w:r>
      <w:r w:rsidRPr="00AE5CD3">
        <w:rPr>
          <w:rFonts w:asciiTheme="majorHAnsi" w:hAnsiTheme="majorHAnsi"/>
          <w:sz w:val="26"/>
          <w:szCs w:val="26"/>
        </w:rPr>
        <w:t xml:space="preserve"> разходи</w:t>
      </w:r>
      <w:bookmarkEnd w:id="84"/>
      <w:bookmarkEnd w:id="85"/>
      <w:bookmarkEnd w:id="86"/>
      <w:bookmarkEnd w:id="87"/>
    </w:p>
    <w:p w:rsidR="005A1B22" w:rsidRPr="00AE5CD3" w:rsidRDefault="005A1B22" w:rsidP="008119B6">
      <w:pPr>
        <w:pBdr>
          <w:top w:val="single" w:sz="4" w:space="1" w:color="auto"/>
          <w:left w:val="single" w:sz="4" w:space="4" w:color="auto"/>
          <w:bottom w:val="single" w:sz="4" w:space="1" w:color="auto"/>
          <w:right w:val="single" w:sz="4" w:space="4" w:color="auto"/>
        </w:pBdr>
        <w:spacing w:after="240" w:line="240" w:lineRule="auto"/>
        <w:jc w:val="both"/>
        <w:rPr>
          <w:rFonts w:asciiTheme="majorHAnsi" w:hAnsiTheme="majorHAnsi"/>
          <w:b/>
          <w:color w:val="000000"/>
          <w:sz w:val="24"/>
          <w:szCs w:val="24"/>
        </w:rPr>
      </w:pPr>
      <w:bookmarkStart w:id="88" w:name="_Toc476823154"/>
      <w:bookmarkStart w:id="89" w:name="_Toc476823155"/>
      <w:r w:rsidRPr="00AE5CD3">
        <w:rPr>
          <w:rFonts w:asciiTheme="majorHAnsi" w:hAnsiTheme="majorHAnsi"/>
          <w:b/>
          <w:color w:val="000000"/>
          <w:sz w:val="24"/>
          <w:szCs w:val="24"/>
        </w:rPr>
        <w:t>ДОПУСТИМИ ПО ПРОЦЕДУРАТА СА СЛЕДНИТЕ ВИДОВЕ РАЗХОДИ:</w:t>
      </w:r>
    </w:p>
    <w:p w:rsidR="005A1B22" w:rsidRPr="00AE5CD3" w:rsidRDefault="005A1B22" w:rsidP="008119B6">
      <w:pPr>
        <w:pBdr>
          <w:top w:val="single" w:sz="4" w:space="1" w:color="auto"/>
          <w:left w:val="single" w:sz="4" w:space="4" w:color="auto"/>
          <w:bottom w:val="single" w:sz="4" w:space="1" w:color="auto"/>
          <w:right w:val="single" w:sz="4" w:space="4" w:color="auto"/>
        </w:pBdr>
        <w:spacing w:after="240" w:line="240" w:lineRule="auto"/>
        <w:jc w:val="both"/>
        <w:rPr>
          <w:rFonts w:asciiTheme="majorHAnsi" w:hAnsiTheme="majorHAnsi"/>
          <w:b/>
          <w:i/>
          <w:sz w:val="24"/>
          <w:szCs w:val="24"/>
        </w:rPr>
      </w:pPr>
      <w:r w:rsidRPr="00AE5CD3">
        <w:rPr>
          <w:rFonts w:asciiTheme="majorHAnsi" w:hAnsiTheme="majorHAnsi"/>
          <w:b/>
          <w:i/>
          <w:sz w:val="24"/>
          <w:szCs w:val="24"/>
        </w:rPr>
        <w:t>I. Подкрепа за общи производствени инвестиции за подобряване на производствения капацитет за растеж чрез ефективното и ефикасно използване на факторите на производство и чрез изграждането на възможности за възприемане и адаптиране на европейски и международни знания и технологии.</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1. Разходи за придобиване на дълготрайни материални активи, в т.ч. придобиване на машини, съоръжения и оборудване, необходими за изпълнението на дейностите по проекта.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2. Разходи за придобиване на дълготрайни нематериални активи, необходими за изпълнението на дейностите по проекта.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p>
    <w:p w:rsidR="005A1B22" w:rsidRPr="00AE5CD3" w:rsidRDefault="005A1B22" w:rsidP="008119B6">
      <w:pPr>
        <w:pStyle w:val="33"/>
        <w:pBdr>
          <w:top w:val="single" w:sz="4" w:space="1" w:color="auto"/>
          <w:left w:val="single" w:sz="4" w:space="4" w:color="auto"/>
          <w:bottom w:val="single" w:sz="4" w:space="1" w:color="auto"/>
          <w:right w:val="single" w:sz="4" w:space="4" w:color="auto"/>
        </w:pBdr>
        <w:spacing w:line="240" w:lineRule="auto"/>
        <w:ind w:left="284" w:hanging="284"/>
        <w:rPr>
          <w:rFonts w:asciiTheme="majorHAnsi" w:hAnsiTheme="majorHAnsi"/>
          <w:b/>
          <w:i/>
          <w:sz w:val="24"/>
          <w:szCs w:val="24"/>
        </w:rPr>
      </w:pPr>
      <w:r w:rsidRPr="00AE5CD3">
        <w:rPr>
          <w:rFonts w:asciiTheme="majorHAnsi" w:hAnsiTheme="majorHAnsi"/>
          <w:b/>
          <w:i/>
          <w:sz w:val="24"/>
          <w:szCs w:val="24"/>
        </w:rPr>
        <w:lastRenderedPageBreak/>
        <w:t>II.</w:t>
      </w:r>
      <w:r w:rsidRPr="00AE5CD3">
        <w:rPr>
          <w:rFonts w:asciiTheme="majorHAnsi" w:hAnsiTheme="majorHAnsi"/>
          <w:b/>
          <w:i/>
          <w:sz w:val="24"/>
          <w:szCs w:val="24"/>
        </w:rPr>
        <w:tab/>
        <w:t>Подкрепа за специализирани услуги за МСП за развитие и укрепване на управленския капацитет.</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 xml:space="preserve">1. Разходи за услуги по въвеждане и сертифициране на системи за управление в съответствие с изискванията на национални/европейски/международни стандарти. </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 xml:space="preserve">2. Разходи за услуги във връзка с: </w:t>
      </w:r>
    </w:p>
    <w:p w:rsidR="00025E18" w:rsidRDefault="005A1B22">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2.1.</w:t>
      </w:r>
      <w:r w:rsidRPr="00AE5CD3">
        <w:rPr>
          <w:rFonts w:asciiTheme="majorHAnsi" w:hAnsiTheme="majorHAnsi"/>
          <w:sz w:val="24"/>
          <w:szCs w:val="24"/>
        </w:rPr>
        <w:tab/>
        <w:t>Постигане на съответствие и оценка на съответствие на продукти с така наречените „съществени изисквания” към тях, определени в директиви (транспонирани в националното законодателство) и регламенти (с пряко действие) от Нов подход, изискващи СЕ маркировки (включително съответствие с хармонизирани европейски стандарти);</w:t>
      </w:r>
    </w:p>
    <w:p w:rsidR="00025E18" w:rsidRDefault="005A1B22">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2.2</w:t>
      </w:r>
      <w:r w:rsidRPr="00AE5CD3">
        <w:rPr>
          <w:rFonts w:asciiTheme="majorHAnsi" w:hAnsiTheme="majorHAnsi"/>
          <w:sz w:val="24"/>
          <w:szCs w:val="24"/>
        </w:rPr>
        <w:tab/>
        <w:t>Постигане на съответствие и оценка на съответствие на продукти с национални/европейски/международни стандарти;</w:t>
      </w:r>
    </w:p>
    <w:p w:rsidR="00025E18" w:rsidRDefault="005A1B22">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2.3</w:t>
      </w:r>
      <w:r w:rsidRPr="00AE5CD3">
        <w:rPr>
          <w:rFonts w:asciiTheme="majorHAnsi" w:hAnsiTheme="majorHAnsi"/>
          <w:sz w:val="24"/>
          <w:szCs w:val="24"/>
        </w:rPr>
        <w:tab/>
        <w:t xml:space="preserve">Присъждане на екомаркировката на ЕС. </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3. Разходи за услуги във връзка с внедряване и сертифициране на добри производствени практики.</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4. Разходи за ползване на специализирани консултантски услуги за реинженеринг на процесите в предприятията. Стойността на предвидените в проектното предложение разходи за ползване на специализирани консултантски услуги за реинженеринг на процесите в предприятията не могат да надвишават 50% от общите допустими разходи по проекта.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5. Разходи за услуги във връзка с ре-сертификацията на системи за управление.</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i/>
          <w:sz w:val="24"/>
          <w:szCs w:val="24"/>
        </w:rPr>
      </w:pPr>
      <w:r w:rsidRPr="00AE5CD3">
        <w:rPr>
          <w:rFonts w:asciiTheme="majorHAnsi" w:hAnsiTheme="majorHAnsi"/>
          <w:b/>
          <w:sz w:val="24"/>
          <w:szCs w:val="24"/>
        </w:rPr>
        <w:t xml:space="preserve">ВАЖНО: </w:t>
      </w:r>
      <w:r w:rsidRPr="00AE5CD3">
        <w:rPr>
          <w:rFonts w:asciiTheme="majorHAnsi" w:hAnsiTheme="majorHAnsi"/>
          <w:i/>
          <w:sz w:val="24"/>
          <w:szCs w:val="24"/>
        </w:rPr>
        <w:t xml:space="preserve">Разходите за ре-сертификация са допустими, само когато е налице преминаване към по-висока версия на вече приложен стандарт за управление и само в случай, че вече приложения стандарт за управление не е изтекъл към дата на обявяване на процедурата за подбор. Задължителен краен резултат е получаването на сертификат, удостоверяващ ре-сертификацията. Ако в срока на изпълнение на проекта не бъде получен съответния сертификат, извършените разходи за ре-сертификация, инвестициите и удостоверяването, няма да бъдат признати, като бенефициентът следва да върне предоставените му средства със съответната </w:t>
      </w:r>
      <w:r w:rsidR="00266E43" w:rsidRPr="00AE5CD3">
        <w:rPr>
          <w:rFonts w:asciiTheme="majorHAnsi" w:hAnsiTheme="majorHAnsi"/>
          <w:i/>
          <w:sz w:val="24"/>
          <w:szCs w:val="24"/>
        </w:rPr>
        <w:t>з</w:t>
      </w:r>
      <w:r w:rsidRPr="00AE5CD3">
        <w:rPr>
          <w:rFonts w:asciiTheme="majorHAnsi" w:hAnsiTheme="majorHAnsi"/>
          <w:i/>
          <w:sz w:val="24"/>
          <w:szCs w:val="24"/>
        </w:rPr>
        <w:t>аконова лихва.</w:t>
      </w:r>
    </w:p>
    <w:p w:rsidR="00870F7E"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 xml:space="preserve">6. Разходи за придобиване на дълготрайни материални активи (ДМА) и/или специализирани софтуерни приложения, представляващи дълготрайни нематериални активи (ДНА), допринасящи за осъществяване на дейността. </w:t>
      </w:r>
    </w:p>
    <w:p w:rsidR="005A1B22" w:rsidRDefault="00CB4FB6"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i/>
          <w:sz w:val="24"/>
          <w:szCs w:val="24"/>
        </w:rPr>
      </w:pPr>
      <w:r w:rsidRPr="00CB4FB6">
        <w:rPr>
          <w:rFonts w:asciiTheme="majorHAnsi" w:hAnsiTheme="majorHAnsi"/>
          <w:b/>
          <w:i/>
          <w:sz w:val="24"/>
          <w:szCs w:val="24"/>
        </w:rPr>
        <w:t>ВАЖНО:</w:t>
      </w:r>
      <w:r w:rsidR="005A1B22" w:rsidRPr="00AE5CD3">
        <w:rPr>
          <w:rFonts w:asciiTheme="majorHAnsi" w:hAnsiTheme="majorHAnsi"/>
          <w:i/>
          <w:sz w:val="24"/>
          <w:szCs w:val="24"/>
        </w:rPr>
        <w:t>Разходите за придобиване на дълготрайни материални активи (ДМА) и специализирани софтуерни приложения, представляващи дълготрайни нематериални активи (ДНА)</w:t>
      </w:r>
      <w:r w:rsidR="00675D84">
        <w:rPr>
          <w:rFonts w:asciiTheme="majorHAnsi" w:hAnsiTheme="majorHAnsi"/>
          <w:i/>
          <w:sz w:val="24"/>
          <w:szCs w:val="24"/>
        </w:rPr>
        <w:t xml:space="preserve"> </w:t>
      </w:r>
      <w:r w:rsidR="005E2D82" w:rsidRPr="00AE5CD3">
        <w:rPr>
          <w:rFonts w:asciiTheme="majorHAnsi" w:hAnsiTheme="majorHAnsi"/>
          <w:b/>
          <w:i/>
          <w:sz w:val="24"/>
          <w:szCs w:val="24"/>
        </w:rPr>
        <w:t>за дейността</w:t>
      </w:r>
      <w:r w:rsidR="00675D84">
        <w:rPr>
          <w:rFonts w:asciiTheme="majorHAnsi" w:hAnsiTheme="majorHAnsi"/>
          <w:b/>
          <w:i/>
          <w:sz w:val="24"/>
          <w:szCs w:val="24"/>
        </w:rPr>
        <w:t xml:space="preserve"> </w:t>
      </w:r>
      <w:r w:rsidR="00266E43" w:rsidRPr="00AE5CD3">
        <w:rPr>
          <w:rFonts w:asciiTheme="majorHAnsi" w:hAnsiTheme="majorHAnsi"/>
          <w:b/>
          <w:i/>
          <w:sz w:val="24"/>
          <w:szCs w:val="24"/>
        </w:rPr>
        <w:t>(Дейност2 от 13</w:t>
      </w:r>
      <w:r w:rsidR="003161B2">
        <w:rPr>
          <w:rFonts w:asciiTheme="majorHAnsi" w:hAnsiTheme="majorHAnsi"/>
          <w:b/>
          <w:i/>
          <w:sz w:val="24"/>
          <w:szCs w:val="24"/>
        </w:rPr>
        <w:t>.</w:t>
      </w:r>
      <w:r w:rsidR="00266E43" w:rsidRPr="00AE5CD3">
        <w:rPr>
          <w:rFonts w:asciiTheme="majorHAnsi" w:hAnsiTheme="majorHAnsi"/>
          <w:b/>
          <w:i/>
          <w:sz w:val="24"/>
          <w:szCs w:val="24"/>
        </w:rPr>
        <w:t>1)</w:t>
      </w:r>
      <w:r w:rsidR="005A1B22" w:rsidRPr="00AE5CD3">
        <w:rPr>
          <w:rFonts w:asciiTheme="majorHAnsi" w:hAnsiTheme="majorHAnsi"/>
          <w:i/>
          <w:sz w:val="24"/>
          <w:szCs w:val="24"/>
        </w:rPr>
        <w:t>не могат да надвишават 150 000 лв. по всеки индивидуален проект.</w:t>
      </w:r>
    </w:p>
    <w:p w:rsidR="00F748C6" w:rsidRDefault="00F748C6"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b/>
          <w:sz w:val="24"/>
          <w:szCs w:val="24"/>
        </w:rPr>
      </w:pPr>
    </w:p>
    <w:p w:rsidR="00F748C6" w:rsidRPr="00F748C6" w:rsidRDefault="00CB4FB6"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CB4FB6">
        <w:rPr>
          <w:rFonts w:asciiTheme="majorHAnsi" w:hAnsiTheme="majorHAnsi"/>
          <w:b/>
          <w:sz w:val="24"/>
          <w:szCs w:val="24"/>
        </w:rPr>
        <w:t>ВАЖНО:</w:t>
      </w:r>
      <w:r w:rsidRPr="00CB4FB6">
        <w:rPr>
          <w:rFonts w:asciiTheme="majorHAnsi" w:hAnsiTheme="majorHAnsi"/>
          <w:sz w:val="24"/>
          <w:szCs w:val="24"/>
        </w:rPr>
        <w:t>В срок</w:t>
      </w:r>
      <w:r w:rsidR="00F748C6">
        <w:rPr>
          <w:rFonts w:asciiTheme="majorHAnsi" w:hAnsiTheme="majorHAnsi"/>
          <w:sz w:val="24"/>
          <w:szCs w:val="24"/>
        </w:rPr>
        <w:t>а</w:t>
      </w:r>
      <w:r w:rsidRPr="00CB4FB6">
        <w:rPr>
          <w:rFonts w:asciiTheme="majorHAnsi" w:hAnsiTheme="majorHAnsi"/>
          <w:sz w:val="24"/>
          <w:szCs w:val="24"/>
        </w:rPr>
        <w:t xml:space="preserve"> на изпълнение на проекта следва бъде придобит документ/сертификат/удостоверение/маркировка като изрично условие за признаване на допустимостта на извършените разходи за изпълнение на съответната дейност, като в случай че това изискване не е спазено бенефициентът следва да възстанови предоставените му от Управляващия  орган средства със съответната законова лихва.</w:t>
      </w:r>
    </w:p>
    <w:p w:rsidR="005E2D82" w:rsidRPr="00AE5CD3" w:rsidRDefault="005E2D8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i/>
          <w:sz w:val="24"/>
          <w:szCs w:val="24"/>
        </w:rPr>
      </w:pPr>
    </w:p>
    <w:p w:rsidR="005A1B22" w:rsidRPr="00AE5CD3" w:rsidRDefault="005A1B22" w:rsidP="008119B6">
      <w:pPr>
        <w:pStyle w:val="40"/>
        <w:pBdr>
          <w:top w:val="single" w:sz="4" w:space="1" w:color="auto"/>
          <w:left w:val="single" w:sz="4" w:space="4" w:color="auto"/>
          <w:bottom w:val="single" w:sz="4" w:space="1" w:color="auto"/>
          <w:right w:val="single" w:sz="4" w:space="4" w:color="auto"/>
        </w:pBdr>
        <w:spacing w:line="240" w:lineRule="auto"/>
        <w:ind w:left="284" w:hanging="284"/>
        <w:jc w:val="both"/>
        <w:rPr>
          <w:rFonts w:asciiTheme="majorHAnsi" w:hAnsiTheme="majorHAnsi"/>
          <w:b/>
          <w:i/>
          <w:sz w:val="24"/>
          <w:szCs w:val="24"/>
        </w:rPr>
      </w:pPr>
      <w:r w:rsidRPr="00AE5CD3">
        <w:rPr>
          <w:rFonts w:asciiTheme="majorHAnsi" w:hAnsiTheme="majorHAnsi"/>
          <w:b/>
          <w:i/>
          <w:sz w:val="24"/>
          <w:szCs w:val="24"/>
        </w:rPr>
        <w:t>III.</w:t>
      </w:r>
      <w:r w:rsidRPr="00AE5CD3">
        <w:rPr>
          <w:rFonts w:asciiTheme="majorHAnsi" w:hAnsiTheme="majorHAnsi"/>
          <w:b/>
          <w:i/>
          <w:sz w:val="24"/>
          <w:szCs w:val="24"/>
        </w:rPr>
        <w:tab/>
        <w:t xml:space="preserve">Подкрепа за растеж на предприятия чрез подобряване на качеството и насърчаване на използването на ИКТ и услуги </w:t>
      </w:r>
    </w:p>
    <w:p w:rsidR="005A1B22" w:rsidRPr="00AE5CD3" w:rsidRDefault="005A1B22" w:rsidP="008119B6">
      <w:pPr>
        <w:pStyle w:val="40"/>
        <w:pBdr>
          <w:top w:val="single" w:sz="4" w:space="1" w:color="auto"/>
          <w:left w:val="single" w:sz="4" w:space="4" w:color="auto"/>
          <w:bottom w:val="single" w:sz="4" w:space="1" w:color="auto"/>
          <w:right w:val="single" w:sz="4" w:space="4" w:color="auto"/>
        </w:pBdr>
        <w:spacing w:after="0" w:line="240" w:lineRule="auto"/>
        <w:ind w:left="0" w:firstLine="0"/>
        <w:jc w:val="both"/>
        <w:rPr>
          <w:rFonts w:asciiTheme="majorHAnsi" w:hAnsiTheme="majorHAnsi"/>
          <w:sz w:val="24"/>
          <w:szCs w:val="24"/>
        </w:rPr>
      </w:pPr>
      <w:r w:rsidRPr="00AE5CD3">
        <w:rPr>
          <w:rFonts w:asciiTheme="majorHAnsi" w:hAnsiTheme="majorHAnsi"/>
          <w:sz w:val="24"/>
          <w:szCs w:val="24"/>
        </w:rPr>
        <w:t xml:space="preserve">1. Разходи за услуги за разработване и въвеждане на базирани на ИКТ софтуери за управление на бизнес процесите в предприятията. </w:t>
      </w:r>
    </w:p>
    <w:p w:rsidR="005A1B22" w:rsidRPr="00AE5CD3" w:rsidRDefault="005A1B22" w:rsidP="008119B6">
      <w:pPr>
        <w:pStyle w:val="40"/>
        <w:pBdr>
          <w:top w:val="single" w:sz="4" w:space="1" w:color="auto"/>
          <w:left w:val="single" w:sz="4" w:space="4" w:color="auto"/>
          <w:bottom w:val="single" w:sz="4" w:space="1" w:color="auto"/>
          <w:right w:val="single" w:sz="4" w:space="4" w:color="auto"/>
        </w:pBdr>
        <w:spacing w:after="0" w:line="240" w:lineRule="auto"/>
        <w:ind w:left="0" w:firstLine="0"/>
        <w:jc w:val="both"/>
        <w:rPr>
          <w:rFonts w:asciiTheme="majorHAnsi" w:hAnsiTheme="majorHAnsi"/>
          <w:sz w:val="24"/>
          <w:szCs w:val="24"/>
        </w:rPr>
      </w:pPr>
      <w:r w:rsidRPr="00AE5CD3">
        <w:rPr>
          <w:rFonts w:asciiTheme="majorHAnsi" w:hAnsiTheme="majorHAnsi"/>
          <w:sz w:val="24"/>
          <w:szCs w:val="24"/>
        </w:rPr>
        <w:lastRenderedPageBreak/>
        <w:t xml:space="preserve">2. Разходи за придобиване и въвеждане на ИКТ базирани софтуери за управление на бизнес процесите в предприятията, представляващи дълготрайни нематериални активи (ДНА). </w:t>
      </w:r>
    </w:p>
    <w:p w:rsidR="005A1B22" w:rsidRDefault="005A1B22" w:rsidP="008119B6">
      <w:pPr>
        <w:pStyle w:val="40"/>
        <w:pBdr>
          <w:top w:val="single" w:sz="4" w:space="1" w:color="auto"/>
          <w:left w:val="single" w:sz="4" w:space="4" w:color="auto"/>
          <w:bottom w:val="single" w:sz="4" w:space="1" w:color="auto"/>
          <w:right w:val="single" w:sz="4" w:space="4" w:color="auto"/>
        </w:pBdr>
        <w:spacing w:after="0" w:line="240" w:lineRule="auto"/>
        <w:ind w:left="0" w:firstLine="0"/>
        <w:jc w:val="both"/>
        <w:rPr>
          <w:rFonts w:asciiTheme="majorHAnsi" w:hAnsiTheme="majorHAnsi"/>
          <w:sz w:val="24"/>
          <w:szCs w:val="24"/>
        </w:rPr>
      </w:pPr>
      <w:r w:rsidRPr="00AE5CD3">
        <w:rPr>
          <w:rFonts w:asciiTheme="majorHAnsi" w:hAnsiTheme="majorHAnsi"/>
          <w:sz w:val="24"/>
          <w:szCs w:val="24"/>
        </w:rPr>
        <w:t>3. Разходи за услуги по използването на софтуер за управленски системи като услуга (SaaS</w:t>
      </w:r>
      <w:r w:rsidR="00CC0D73">
        <w:rPr>
          <w:rStyle w:val="ae"/>
          <w:rFonts w:asciiTheme="majorHAnsi" w:hAnsiTheme="majorHAnsi"/>
          <w:sz w:val="24"/>
          <w:szCs w:val="24"/>
        </w:rPr>
        <w:footnoteReference w:id="12"/>
      </w:r>
      <w:r w:rsidRPr="00AE5CD3">
        <w:rPr>
          <w:rFonts w:asciiTheme="majorHAnsi" w:hAnsiTheme="majorHAnsi"/>
          <w:sz w:val="24"/>
          <w:szCs w:val="24"/>
        </w:rPr>
        <w:t xml:space="preserve">). </w:t>
      </w:r>
    </w:p>
    <w:p w:rsidR="00CC0D73" w:rsidRDefault="00CC0D73" w:rsidP="008119B6">
      <w:pPr>
        <w:pStyle w:val="40"/>
        <w:pBdr>
          <w:top w:val="single" w:sz="4" w:space="1" w:color="auto"/>
          <w:left w:val="single" w:sz="4" w:space="4" w:color="auto"/>
          <w:bottom w:val="single" w:sz="4" w:space="1" w:color="auto"/>
          <w:right w:val="single" w:sz="4" w:space="4" w:color="auto"/>
        </w:pBdr>
        <w:spacing w:after="0" w:line="240" w:lineRule="auto"/>
        <w:ind w:left="0" w:firstLine="0"/>
        <w:jc w:val="both"/>
        <w:rPr>
          <w:rFonts w:asciiTheme="majorHAnsi" w:hAnsiTheme="majorHAnsi"/>
          <w:sz w:val="24"/>
          <w:szCs w:val="24"/>
        </w:rPr>
      </w:pPr>
      <w:r w:rsidRPr="00CC0D73">
        <w:rPr>
          <w:rFonts w:asciiTheme="majorHAnsi" w:hAnsiTheme="majorHAnsi"/>
          <w:sz w:val="24"/>
          <w:szCs w:val="24"/>
        </w:rPr>
        <w:t>Задължително условие за този вид услуги е да включват само ИКТ базирани софтуери за управление на бизнес процесите в предприятията.</w:t>
      </w:r>
    </w:p>
    <w:p w:rsidR="00494AFE" w:rsidRDefault="00494AFE" w:rsidP="008119B6">
      <w:pPr>
        <w:pStyle w:val="40"/>
        <w:pBdr>
          <w:top w:val="single" w:sz="4" w:space="1" w:color="auto"/>
          <w:left w:val="single" w:sz="4" w:space="4" w:color="auto"/>
          <w:bottom w:val="single" w:sz="4" w:space="1" w:color="auto"/>
          <w:right w:val="single" w:sz="4" w:space="4" w:color="auto"/>
        </w:pBdr>
        <w:spacing w:after="0" w:line="240" w:lineRule="auto"/>
        <w:ind w:left="0" w:firstLine="0"/>
        <w:jc w:val="both"/>
        <w:rPr>
          <w:rFonts w:asciiTheme="majorHAnsi" w:hAnsiTheme="majorHAnsi"/>
          <w:b/>
          <w:sz w:val="24"/>
          <w:szCs w:val="24"/>
        </w:rPr>
      </w:pPr>
    </w:p>
    <w:p w:rsidR="00494AFE" w:rsidRDefault="00CB4FB6" w:rsidP="008119B6">
      <w:pPr>
        <w:pStyle w:val="40"/>
        <w:pBdr>
          <w:top w:val="single" w:sz="4" w:space="1" w:color="auto"/>
          <w:left w:val="single" w:sz="4" w:space="4" w:color="auto"/>
          <w:bottom w:val="single" w:sz="4" w:space="1" w:color="auto"/>
          <w:right w:val="single" w:sz="4" w:space="4" w:color="auto"/>
        </w:pBdr>
        <w:spacing w:after="0" w:line="240" w:lineRule="auto"/>
        <w:ind w:left="0" w:firstLine="0"/>
        <w:jc w:val="both"/>
        <w:rPr>
          <w:rFonts w:asciiTheme="majorHAnsi" w:hAnsiTheme="majorHAnsi"/>
          <w:sz w:val="24"/>
          <w:szCs w:val="24"/>
        </w:rPr>
      </w:pPr>
      <w:r w:rsidRPr="00CB4FB6">
        <w:rPr>
          <w:rFonts w:asciiTheme="majorHAnsi" w:hAnsiTheme="majorHAnsi"/>
          <w:b/>
          <w:sz w:val="24"/>
          <w:szCs w:val="24"/>
        </w:rPr>
        <w:t>ВАЖНО:</w:t>
      </w:r>
      <w:r w:rsidR="00494AFE" w:rsidRPr="00494AFE">
        <w:rPr>
          <w:rFonts w:asciiTheme="majorHAnsi" w:hAnsiTheme="majorHAnsi"/>
          <w:sz w:val="24"/>
          <w:szCs w:val="24"/>
        </w:rPr>
        <w:t xml:space="preserve"> Във връзка с гарантиране устойчивост на резултатите от изпълнението на проекта, бенефициентът се задължава да подсигури правото да ползва SaaS услугата за период от минимум 3 (три) години след приключването на проекта. Запазването на правото на ползване на SaaS услугата за период от минимум 3 години след приключването на проекта е изрично условие за признаване на допустимостта на извършените разходи, като в случай че това изискване не е спазено, бенефициентът следва да възстанови предоставените му от Управляващия  орган средства със съответната законова лихва.</w:t>
      </w:r>
    </w:p>
    <w:p w:rsidR="00CC0D73" w:rsidRDefault="005A1B22" w:rsidP="008119B6">
      <w:pPr>
        <w:pStyle w:val="40"/>
        <w:pBdr>
          <w:top w:val="single" w:sz="4" w:space="1" w:color="auto"/>
          <w:left w:val="single" w:sz="4" w:space="4" w:color="auto"/>
          <w:bottom w:val="single" w:sz="4" w:space="1" w:color="auto"/>
          <w:right w:val="single" w:sz="4" w:space="4" w:color="auto"/>
        </w:pBdr>
        <w:spacing w:after="0" w:line="240" w:lineRule="auto"/>
        <w:ind w:left="0" w:firstLine="0"/>
        <w:jc w:val="both"/>
        <w:rPr>
          <w:rFonts w:asciiTheme="majorHAnsi" w:hAnsiTheme="majorHAnsi"/>
          <w:sz w:val="24"/>
          <w:szCs w:val="24"/>
        </w:rPr>
      </w:pPr>
      <w:r w:rsidRPr="00AE5CD3">
        <w:rPr>
          <w:rFonts w:asciiTheme="majorHAnsi" w:hAnsiTheme="majorHAnsi"/>
          <w:sz w:val="24"/>
          <w:szCs w:val="24"/>
        </w:rPr>
        <w:t xml:space="preserve">4. Разходи за придобиване на дълготрайни материални активи (ДМА) и/или специализирани софтуерни приложения, представляващи дълготрайни нематериални активи (ДНА), допринасящи за осъществяваната дейност. </w:t>
      </w:r>
    </w:p>
    <w:p w:rsidR="005A1B22" w:rsidRPr="00AE5CD3" w:rsidRDefault="005A1B22" w:rsidP="008119B6">
      <w:pPr>
        <w:pStyle w:val="40"/>
        <w:pBdr>
          <w:top w:val="single" w:sz="4" w:space="1" w:color="auto"/>
          <w:left w:val="single" w:sz="4" w:space="4" w:color="auto"/>
          <w:bottom w:val="single" w:sz="4" w:space="1" w:color="auto"/>
          <w:right w:val="single" w:sz="4" w:space="4" w:color="auto"/>
        </w:pBdr>
        <w:spacing w:after="0" w:line="240" w:lineRule="auto"/>
        <w:ind w:left="0" w:firstLine="0"/>
        <w:jc w:val="both"/>
        <w:rPr>
          <w:rFonts w:asciiTheme="majorHAnsi" w:hAnsiTheme="majorHAnsi"/>
          <w:i/>
          <w:sz w:val="24"/>
          <w:szCs w:val="24"/>
        </w:rPr>
      </w:pPr>
      <w:r w:rsidRPr="00AE5CD3">
        <w:rPr>
          <w:rFonts w:asciiTheme="majorHAnsi" w:hAnsiTheme="majorHAnsi"/>
          <w:i/>
          <w:sz w:val="24"/>
          <w:szCs w:val="24"/>
        </w:rPr>
        <w:t>Разходите за придобиване на дълготрайни материални активи (ДМА) и специализирани софтуерни приложения, представляващи дълготрайни нематериални активи (ДНА)</w:t>
      </w:r>
      <w:r w:rsidR="00675D84">
        <w:rPr>
          <w:rFonts w:asciiTheme="majorHAnsi" w:hAnsiTheme="majorHAnsi"/>
          <w:i/>
          <w:sz w:val="24"/>
          <w:szCs w:val="24"/>
        </w:rPr>
        <w:t xml:space="preserve"> </w:t>
      </w:r>
      <w:r w:rsidR="005E2D82" w:rsidRPr="00AE5CD3">
        <w:rPr>
          <w:rFonts w:asciiTheme="majorHAnsi" w:hAnsiTheme="majorHAnsi"/>
          <w:b/>
          <w:i/>
          <w:sz w:val="24"/>
          <w:szCs w:val="24"/>
        </w:rPr>
        <w:t>за дейността</w:t>
      </w:r>
      <w:r w:rsidR="00266E43" w:rsidRPr="00AE5CD3">
        <w:rPr>
          <w:rFonts w:asciiTheme="majorHAnsi" w:hAnsiTheme="majorHAnsi"/>
          <w:b/>
          <w:i/>
          <w:sz w:val="24"/>
          <w:szCs w:val="24"/>
        </w:rPr>
        <w:t xml:space="preserve"> (Дейност</w:t>
      </w:r>
      <w:r w:rsidR="00094E1B">
        <w:rPr>
          <w:rFonts w:asciiTheme="majorHAnsi" w:hAnsiTheme="majorHAnsi"/>
          <w:b/>
          <w:i/>
          <w:sz w:val="24"/>
          <w:szCs w:val="24"/>
        </w:rPr>
        <w:t xml:space="preserve"> </w:t>
      </w:r>
      <w:r w:rsidR="00266E43" w:rsidRPr="00AE5CD3">
        <w:rPr>
          <w:rFonts w:asciiTheme="majorHAnsi" w:hAnsiTheme="majorHAnsi"/>
          <w:b/>
          <w:i/>
          <w:sz w:val="24"/>
          <w:szCs w:val="24"/>
        </w:rPr>
        <w:t>3 от 13</w:t>
      </w:r>
      <w:r w:rsidR="00CC0D73">
        <w:rPr>
          <w:rFonts w:asciiTheme="majorHAnsi" w:hAnsiTheme="majorHAnsi"/>
          <w:b/>
          <w:i/>
          <w:sz w:val="24"/>
          <w:szCs w:val="24"/>
        </w:rPr>
        <w:t>.</w:t>
      </w:r>
      <w:r w:rsidR="00266E43" w:rsidRPr="00AE5CD3">
        <w:rPr>
          <w:rFonts w:asciiTheme="majorHAnsi" w:hAnsiTheme="majorHAnsi"/>
          <w:b/>
          <w:i/>
          <w:sz w:val="24"/>
          <w:szCs w:val="24"/>
        </w:rPr>
        <w:t>1)</w:t>
      </w:r>
      <w:r w:rsidRPr="00AE5CD3">
        <w:rPr>
          <w:rFonts w:asciiTheme="majorHAnsi" w:hAnsiTheme="majorHAnsi"/>
          <w:i/>
          <w:sz w:val="24"/>
          <w:szCs w:val="24"/>
        </w:rPr>
        <w:t xml:space="preserve"> не могат да надвишават 150 000 лв. по всеки индивидуален проект</w:t>
      </w:r>
      <w:r w:rsidR="00D250C7">
        <w:rPr>
          <w:rStyle w:val="ae"/>
          <w:rFonts w:asciiTheme="majorHAnsi" w:hAnsiTheme="majorHAnsi"/>
          <w:i/>
          <w:sz w:val="24"/>
          <w:szCs w:val="24"/>
        </w:rPr>
        <w:footnoteReference w:id="13"/>
      </w:r>
      <w:r w:rsidRPr="00AE5CD3">
        <w:rPr>
          <w:rFonts w:asciiTheme="majorHAnsi" w:hAnsiTheme="majorHAnsi"/>
          <w:i/>
          <w:sz w:val="24"/>
          <w:szCs w:val="24"/>
        </w:rPr>
        <w:t>.</w:t>
      </w:r>
    </w:p>
    <w:p w:rsidR="005A1B22" w:rsidRPr="00AE5CD3" w:rsidRDefault="005A1B22" w:rsidP="008119B6">
      <w:pPr>
        <w:pStyle w:val="40"/>
        <w:pBdr>
          <w:top w:val="single" w:sz="4" w:space="1" w:color="auto"/>
          <w:left w:val="single" w:sz="4" w:space="4" w:color="auto"/>
          <w:bottom w:val="single" w:sz="4" w:space="1" w:color="auto"/>
          <w:right w:val="single" w:sz="4" w:space="4" w:color="auto"/>
        </w:pBdr>
        <w:spacing w:after="0" w:line="240" w:lineRule="auto"/>
        <w:ind w:left="0" w:firstLine="0"/>
        <w:jc w:val="both"/>
        <w:rPr>
          <w:rFonts w:asciiTheme="majorHAnsi" w:hAnsiTheme="majorHAnsi"/>
          <w:sz w:val="24"/>
          <w:szCs w:val="24"/>
        </w:rPr>
      </w:pPr>
    </w:p>
    <w:p w:rsidR="005A1B22" w:rsidRPr="00AE5CD3" w:rsidRDefault="005A1B22" w:rsidP="00266E43">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b/>
          <w:i/>
          <w:sz w:val="24"/>
          <w:szCs w:val="24"/>
        </w:rPr>
      </w:pPr>
      <w:r w:rsidRPr="00AE5CD3">
        <w:rPr>
          <w:rFonts w:asciiTheme="majorHAnsi" w:hAnsiTheme="majorHAnsi"/>
          <w:b/>
          <w:i/>
          <w:sz w:val="24"/>
          <w:szCs w:val="24"/>
        </w:rPr>
        <w:t>IV. Разходи за визуализация</w:t>
      </w:r>
      <w:r w:rsidR="00266E43" w:rsidRPr="00AE5CD3">
        <w:rPr>
          <w:rFonts w:asciiTheme="majorHAnsi" w:hAnsiTheme="majorHAnsi"/>
          <w:b/>
          <w:i/>
          <w:sz w:val="24"/>
          <w:szCs w:val="24"/>
        </w:rPr>
        <w:t xml:space="preserve"> (по Дейности 1, 2 и 3)</w:t>
      </w:r>
      <w:r w:rsidRPr="00AE5CD3">
        <w:rPr>
          <w:rFonts w:asciiTheme="majorHAnsi" w:hAnsiTheme="majorHAnsi"/>
          <w:b/>
          <w:i/>
          <w:sz w:val="24"/>
          <w:szCs w:val="24"/>
        </w:rPr>
        <w:t xml:space="preserve"> – до 2 000 лв.</w:t>
      </w:r>
    </w:p>
    <w:p w:rsidR="005A1B22" w:rsidRPr="00AE5CD3" w:rsidRDefault="005A1B22" w:rsidP="00266E43">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sz w:val="24"/>
          <w:szCs w:val="24"/>
        </w:rPr>
        <w:t>Допустими са за финансиране по всеки проект, независимо от посочените от кандидата допустими дейности.</w:t>
      </w:r>
    </w:p>
    <w:p w:rsidR="005A1B22" w:rsidRPr="00AE5CD3" w:rsidRDefault="005A1B22" w:rsidP="00266E43">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b/>
          <w:sz w:val="24"/>
          <w:szCs w:val="24"/>
        </w:rPr>
        <w:t xml:space="preserve">ВАЖНО: </w:t>
      </w:r>
      <w:r w:rsidRPr="00AE5CD3">
        <w:rPr>
          <w:rFonts w:asciiTheme="majorHAnsi" w:hAnsiTheme="majorHAnsi"/>
          <w:sz w:val="24"/>
          <w:szCs w:val="24"/>
        </w:rPr>
        <w:t>Залагането на разходи само за визуализацията е недопустимо!</w:t>
      </w:r>
    </w:p>
    <w:p w:rsidR="00832547" w:rsidRDefault="00832547" w:rsidP="00266E43">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b/>
          <w:sz w:val="24"/>
          <w:szCs w:val="24"/>
        </w:rPr>
      </w:pPr>
    </w:p>
    <w:p w:rsidR="005A1B22" w:rsidRPr="00AE5CD3" w:rsidRDefault="005A1B22" w:rsidP="00266E43">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b/>
          <w:sz w:val="24"/>
          <w:szCs w:val="24"/>
        </w:rPr>
        <w:t>ВАЖНО:</w:t>
      </w:r>
      <w:r w:rsidRPr="00AE5CD3">
        <w:rPr>
          <w:rFonts w:asciiTheme="majorHAnsi" w:hAnsiTheme="majorHAnsi"/>
          <w:sz w:val="24"/>
          <w:szCs w:val="24"/>
        </w:rPr>
        <w:t xml:space="preserve"> Дълготрайните материални и нематериални активи, придобити със средства по проект, следва да бъдат използвани единствено в стопанския обект, който получава помощта, да бъдат амортизируеми, да бъдат закупени при пазарни условия от трети страни, несвързани с купувача, да бъдат включени в активите на предприятието, получаващо помощта, както и да останат свързани с проекта, за който е предоставена помощта, за срок от минимум три години. Допустимо е придобиването на посочените активи, чрез договор за краткосрочен финансов лизинг, в който се съдържа задължението бенефициентът да закупи актива след изтичането на договора за лизинг, но не по-късно от крайния срок на изпълнение на проекта. Придобиването чрез финансов лизинг е допустимо при спазване на условията на чл. 18, ал. 1 и ал. 3 на ПМС № 189/2016 г. Бенефициентът може да придобие собствеността върху даден актив или чрез договор за финансов лизинг или чрез договор за покупка.</w:t>
      </w:r>
    </w:p>
    <w:p w:rsidR="00832547" w:rsidRDefault="00832547" w:rsidP="00266E43">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b/>
          <w:sz w:val="24"/>
          <w:szCs w:val="24"/>
        </w:rPr>
      </w:pPr>
    </w:p>
    <w:p w:rsidR="005A1B22" w:rsidRPr="00AE5CD3" w:rsidRDefault="005A1B22" w:rsidP="00266E43">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b/>
          <w:sz w:val="24"/>
          <w:szCs w:val="24"/>
        </w:rPr>
        <w:t xml:space="preserve">ВАЖНО: </w:t>
      </w:r>
      <w:r w:rsidRPr="00AE5CD3">
        <w:rPr>
          <w:rFonts w:asciiTheme="majorHAnsi" w:hAnsiTheme="majorHAnsi"/>
          <w:sz w:val="24"/>
          <w:szCs w:val="24"/>
        </w:rPr>
        <w:t xml:space="preserve">Разходите за доставка, монтаж, инсталиране, изпитване и въвеждане в експлоатация на оборудване/машини/съоръжения следва да бъдат включени в общата стойност на съответните активи, посочени в бюджета на проекта (т. 5 от Формуляра за </w:t>
      </w:r>
      <w:r w:rsidRPr="00AE5CD3">
        <w:rPr>
          <w:rFonts w:asciiTheme="majorHAnsi" w:hAnsiTheme="majorHAnsi"/>
          <w:sz w:val="24"/>
          <w:szCs w:val="24"/>
        </w:rPr>
        <w:lastRenderedPageBreak/>
        <w:t>кандидатстване). В случай, че са посочени в отделни редове в бюджета на проекта, същите ще бъдат премахнати от бюджета от Комисията за подбор.</w:t>
      </w:r>
    </w:p>
    <w:p w:rsidR="00832547" w:rsidRDefault="00832547" w:rsidP="00266E43">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b/>
          <w:sz w:val="24"/>
          <w:szCs w:val="24"/>
        </w:rPr>
      </w:pPr>
    </w:p>
    <w:p w:rsidR="005A1B22" w:rsidRPr="00AE5CD3" w:rsidRDefault="005A1B22" w:rsidP="00266E43">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AE5CD3">
        <w:rPr>
          <w:rFonts w:asciiTheme="majorHAnsi" w:hAnsiTheme="majorHAnsi"/>
          <w:b/>
          <w:sz w:val="24"/>
          <w:szCs w:val="24"/>
        </w:rPr>
        <w:t xml:space="preserve">ВАЖНО: </w:t>
      </w:r>
      <w:r w:rsidRPr="00AE5CD3">
        <w:rPr>
          <w:rFonts w:asciiTheme="majorHAnsi" w:hAnsiTheme="majorHAnsi"/>
          <w:sz w:val="24"/>
          <w:szCs w:val="24"/>
        </w:rPr>
        <w:t>Когато кандидатът упражнява едновременно дейност в недопустими сектори и в допустими сектори, безвъзмездната помощ се предоставя само за дейностите в допустимите сектори, като кандидатът/бенефициентът следва да води отделна счетоводна отчетност по отношение на приходите, разходите, активите и пасивите, свързани с всяка дейност, която да гарантира отделяне на дейностите, така че дейностите в недопустимите сектори да не се ползват от предоставена безвъзмездна помощ. За тази цел кандидатът представя като условие за плащане при първото междинно плащане, при промяна или, ако няма междинни плащания, при окончателно плащане, индивидуален сметкоплан утвърден от ръководството на предприятието с включени в него обособените счетоводни сметки /подсметки/, специално открити за проекта. От извлеченията/счетоводните записи по посочените в индивидуалния сметкоплан сметки следва да е видно разграничаването на разходите, така че дейностите в недопустимите сектори да не се ползват от безвъзмездната помощ.</w:t>
      </w:r>
    </w:p>
    <w:p w:rsidR="005A1B22" w:rsidRPr="00AE5CD3" w:rsidRDefault="005A1B22" w:rsidP="008119B6">
      <w:pPr>
        <w:pStyle w:val="30"/>
        <w:spacing w:before="0" w:line="240" w:lineRule="auto"/>
        <w:jc w:val="both"/>
        <w:rPr>
          <w:rFonts w:asciiTheme="majorHAnsi" w:hAnsiTheme="majorHAnsi"/>
          <w:color w:val="4F81BD"/>
          <w:sz w:val="26"/>
          <w:szCs w:val="26"/>
        </w:rPr>
      </w:pPr>
    </w:p>
    <w:p w:rsidR="005A1B22" w:rsidRPr="00AE5CD3" w:rsidRDefault="005A1B22" w:rsidP="008119B6">
      <w:pPr>
        <w:pStyle w:val="30"/>
        <w:spacing w:before="0" w:line="240" w:lineRule="auto"/>
        <w:jc w:val="both"/>
        <w:rPr>
          <w:rFonts w:asciiTheme="majorHAnsi" w:eastAsia="Times New Roman" w:hAnsiTheme="majorHAnsi"/>
          <w:color w:val="4F81BD"/>
          <w:sz w:val="26"/>
          <w:szCs w:val="26"/>
          <w:lang w:eastAsia="bg-BG"/>
        </w:rPr>
      </w:pPr>
      <w:bookmarkStart w:id="90" w:name="_Toc514333711"/>
      <w:bookmarkStart w:id="91" w:name="_Toc514334551"/>
      <w:bookmarkStart w:id="92" w:name="_Toc514334643"/>
      <w:r w:rsidRPr="00AE5CD3">
        <w:rPr>
          <w:rFonts w:asciiTheme="majorHAnsi" w:hAnsiTheme="majorHAnsi"/>
          <w:color w:val="4F81BD"/>
          <w:sz w:val="26"/>
          <w:szCs w:val="26"/>
        </w:rPr>
        <w:t>14.3.  Недопустими разходи</w:t>
      </w:r>
      <w:bookmarkEnd w:id="88"/>
      <w:bookmarkEnd w:id="90"/>
      <w:bookmarkEnd w:id="91"/>
      <w:bookmarkEnd w:id="92"/>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Недопустимите разходи се определят на основа на изискванията на Глава 5, Раздел I от ЗУСЕСИФ, Постановление № 189 от 28 юли 2016 г. за определяне на национални правила за допустимост на разходите по програмите, съфинансирани от Европейски структурни и инвестиционни фондове, за програмен период 2014-2020 година, разпоредбите на Регламент (ЕС) № 1303/2013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на Европейския фонд за регионално развитие, Европейския фонд социален фонд, Кохезионния фонд и Европейския фонд за морско дело и рибарство и за отмяна на Регламент (ЕО) № 1083/2006 на Съвета и относимото законодателство.</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b/>
          <w:lang w:val="bg-BG"/>
        </w:rPr>
        <w:t>Недопустими</w:t>
      </w:r>
      <w:r w:rsidRPr="00AE5CD3">
        <w:rPr>
          <w:rFonts w:asciiTheme="majorHAnsi" w:hAnsiTheme="majorHAnsi"/>
          <w:lang w:val="bg-BG"/>
        </w:rPr>
        <w:t xml:space="preserve"> по процедурата са следните видове разходи: </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дълготрайни активи втора употреба и за дълготрайни активи, които не са заведени за първи път от получателя на помощта (не са закупени от първи доставчик или производител);</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закупуване на дълготрайни материални активи и дълготрайни нематериални активи, които не са пряко свързани с постигане на целите на проекта;</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проекти или за дейности, които са физически  завършени или изцяло осъществени преди подаването на формуляра за кандидатстване от бенефициента, независимо дали всички свързани плащания са извършени от него; • разходи за строително-монтажни работи (СМР);</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реклама – включително и не само публикуване на обяви в периодични издания, изработка, разпространение и излъчване на рекламни спотове (радио и телевизионни) и др. различни от тези, които бенефициентите могат да прилагат при изпълнение на проекти, финансирани от ЕСИФ и посочени в „Единния наръчник на бенефициента за прилагане на правилата за информация и комуникация” 2014-2020;</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застраховки на закупеното оборудване;</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банкови такси и комисионни;</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 xml:space="preserve">непреки разходи (административни разходи, режийни и др.) ; </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закупуване на земя и сгради;</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lastRenderedPageBreak/>
        <w:t>разходи за консултантски услуги за разработване на проектното предложение;</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одит на проекта;</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закупуване на резервни части;</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човешки ресурси (включително за персонал, назначен за администриране на проекта);</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командировки на персонала на бенефициента;</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консултантски, юридически и счетоводни услуги от общ характер;</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изработване на общи пазарни анализи, проучвания, маркетингови планове;</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принос в натура;</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загуби от обмяна на валута;</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непредвидени разходи (глоби, санкции, неустойки, лихви по търговски вземания/задължения и др.);</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възстановим ДДС;</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суровини, материали, полуобработени компоненти, консумативи за производството, резервни части, имащи характер на стоково-материални запаси;</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закупуване или наемане на транспортни средства и съоръжения съгласно приложената Дефиниция;</w:t>
      </w:r>
    </w:p>
    <w:p w:rsidR="005A1B22" w:rsidRPr="00BF73E8" w:rsidRDefault="005A1B22" w:rsidP="00BF73E8">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BF73E8">
        <w:rPr>
          <w:rFonts w:asciiTheme="majorHAnsi" w:hAnsiTheme="majorHAnsi"/>
          <w:sz w:val="24"/>
          <w:szCs w:val="24"/>
        </w:rPr>
        <w:t>разходи за придобиването на товарни автомобили за сухопътен транспорт;</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всички разходи, които не попадат в обхвата на допустимите дейности, вкл. разходи за дейности, които не са описани във Формуляра за кандидатстване или за които, от представеното описание, не може да се прецени за коя дейност се отнасят и дали тази дейност е допустима;</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 xml:space="preserve">разходи, които вече са финансирани със средства от ЕСИФ или чрез други инструменти на Европейския съюз, както и с други публични средства, различни от тези на бенефициента; </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глоби, финансови санкции и разходи за разрешаване на спорове;</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разходите за гаранции, осигурени от банка или от друга финансова институция;</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лихви по дългове, с изключение на свързани с БФП, предоставени под формата на лихвени субсидии или субсидии за гаранционни такси;</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наем на съоръжения и оборудване за постоянно ползване след приключване на проекта;</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експлоатация и поддръжка;</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 xml:space="preserve">разходи за придобиване/отчуждаване на незастроени и/или застроени земи и/или придобиване на ограничени вещни права, за които не са спазени всички нормативно определени условия; </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надхвърлящи нормативно определени процентни ограничения на техния размер, включително разходи за организация и управление на проекта, за информация и комуникация (публичност и визуализация);</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командировки на ръководителя и/или на членовете на екипа за управление на проекта над нормативно определените ограничения;</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свързани с изпълнението на недопустими дейности;</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разходи за финансиране на операции, които към момента на избирането им за финансиране от Европейските структурни и инвестиционни фондове са били физически завършени или изцяло осъществени преди подаването на проектното предложение за финансиране по програмата от страна на бенефициента, независимо дали всички свързани плащания са направени от бенефициента или не (съгласно чл. 65, параграф 6 от Регламент (ЕС) № 1303/2013);</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други разходи, недопустими съгласно ПМС № 189/2016 г.</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Недопустими за финансиране разходи, неправомерно одобрени и платени от </w:t>
      </w:r>
      <w:r w:rsidRPr="00AE5CD3">
        <w:rPr>
          <w:rFonts w:asciiTheme="majorHAnsi" w:hAnsiTheme="majorHAnsi"/>
          <w:lang w:val="bg-BG"/>
        </w:rPr>
        <w:lastRenderedPageBreak/>
        <w:t>бенефициента, остават за негова сметка и не подлежат на възстановяване. Ако е приложимо, в бюджета на проектното предложение може да се посочат разходи, които са недопустими, но са свързани с изпълнението на проекта и за които кандидата е осигурил финансиране. При изготвянето на бюджета всеки кандидат следва да има предвид нормативно определените ограничения за размера на някои категории разходи, въведени с ПМС № 189/2016 г.</w:t>
      </w:r>
    </w:p>
    <w:p w:rsidR="005A1B22" w:rsidRPr="00AE5CD3" w:rsidRDefault="005A1B22" w:rsidP="008119B6">
      <w:pPr>
        <w:pStyle w:val="afd"/>
        <w:jc w:val="both"/>
        <w:rPr>
          <w:rFonts w:asciiTheme="majorHAnsi" w:hAnsiTheme="majorHAnsi"/>
          <w:lang w:val="bg-BG"/>
        </w:rPr>
      </w:pPr>
    </w:p>
    <w:p w:rsidR="005A1B22" w:rsidRPr="00AE5CD3" w:rsidRDefault="005A1B22" w:rsidP="008119B6">
      <w:pPr>
        <w:pStyle w:val="20"/>
        <w:spacing w:before="0" w:line="240" w:lineRule="auto"/>
        <w:jc w:val="both"/>
        <w:rPr>
          <w:rFonts w:asciiTheme="majorHAnsi" w:hAnsiTheme="majorHAnsi"/>
        </w:rPr>
      </w:pPr>
      <w:bookmarkStart w:id="93" w:name="_Toc514333712"/>
      <w:bookmarkStart w:id="94" w:name="_Toc514334552"/>
      <w:bookmarkStart w:id="95" w:name="_Toc514334644"/>
      <w:r w:rsidRPr="00AE5CD3">
        <w:rPr>
          <w:rFonts w:asciiTheme="majorHAnsi" w:hAnsiTheme="majorHAnsi"/>
        </w:rPr>
        <w:t>15. Допустими целеви групи</w:t>
      </w:r>
      <w:bookmarkEnd w:id="89"/>
      <w:bookmarkEnd w:id="93"/>
      <w:bookmarkEnd w:id="94"/>
      <w:bookmarkEnd w:id="95"/>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Допустими целеви групи за финансиране</w:t>
      </w:r>
      <w:r w:rsidR="00890542" w:rsidRPr="00AE5CD3">
        <w:rPr>
          <w:rFonts w:asciiTheme="majorHAnsi" w:hAnsiTheme="majorHAnsi"/>
          <w:lang w:val="bg-BG"/>
        </w:rPr>
        <w:t xml:space="preserve"> по настоящата процедура са </w:t>
      </w:r>
      <w:r w:rsidRPr="00AE5CD3">
        <w:rPr>
          <w:rFonts w:asciiTheme="majorHAnsi" w:hAnsiTheme="majorHAnsi"/>
          <w:b/>
          <w:u w:val="single"/>
          <w:lang w:val="bg-BG"/>
        </w:rPr>
        <w:t>само малки и средни</w:t>
      </w:r>
      <w:r w:rsidRPr="00AE5CD3">
        <w:rPr>
          <w:rFonts w:asciiTheme="majorHAnsi" w:hAnsiTheme="majorHAnsi"/>
          <w:lang w:val="bg-BG"/>
        </w:rPr>
        <w:t xml:space="preserve"> предприятия, съгласно Закона за малките и средни предприятия</w:t>
      </w:r>
      <w:r w:rsidR="007C7334">
        <w:rPr>
          <w:rFonts w:asciiTheme="majorHAnsi" w:hAnsiTheme="majorHAnsi"/>
          <w:lang w:val="bg-BG"/>
        </w:rPr>
        <w:t xml:space="preserve"> </w:t>
      </w:r>
      <w:r w:rsidR="00767DD4">
        <w:rPr>
          <w:rFonts w:asciiTheme="majorHAnsi" w:hAnsiTheme="majorHAnsi"/>
          <w:lang w:val="bg-BG"/>
        </w:rPr>
        <w:t xml:space="preserve">с </w:t>
      </w:r>
      <w:r w:rsidR="00767DD4" w:rsidRPr="007C7334">
        <w:rPr>
          <w:rFonts w:asciiTheme="majorHAnsi" w:hAnsiTheme="majorHAnsi"/>
          <w:lang w:val="bg-BG"/>
        </w:rPr>
        <w:t xml:space="preserve">постоянен адрес, </w:t>
      </w:r>
      <w:r w:rsidR="000F0093" w:rsidRPr="007C7334">
        <w:rPr>
          <w:rFonts w:asciiTheme="majorHAnsi" w:hAnsiTheme="majorHAnsi"/>
          <w:lang w:val="bg-BG"/>
        </w:rPr>
        <w:t>седалище и адрес на управление</w:t>
      </w:r>
      <w:r w:rsidR="007C7334" w:rsidRPr="007C7334">
        <w:rPr>
          <w:rFonts w:asciiTheme="majorHAnsi" w:hAnsiTheme="majorHAnsi"/>
          <w:lang w:val="bg-BG"/>
        </w:rPr>
        <w:t xml:space="preserve"> </w:t>
      </w:r>
      <w:r w:rsidR="00266E43" w:rsidRPr="007C7334">
        <w:rPr>
          <w:rFonts w:asciiTheme="majorHAnsi" w:hAnsiTheme="majorHAnsi"/>
          <w:lang w:val="bg-BG"/>
        </w:rPr>
        <w:t xml:space="preserve">на територията на МИГ Кирково – </w:t>
      </w:r>
      <w:r w:rsidR="00266E43" w:rsidRPr="00AE5CD3">
        <w:rPr>
          <w:rFonts w:asciiTheme="majorHAnsi" w:hAnsiTheme="majorHAnsi"/>
          <w:lang w:val="bg-BG"/>
        </w:rPr>
        <w:t>Златоград, които да развиват своята икономическа дейност и дей</w:t>
      </w:r>
      <w:r w:rsidR="009F1813" w:rsidRPr="00AE5CD3">
        <w:rPr>
          <w:rFonts w:asciiTheme="majorHAnsi" w:hAnsiTheme="majorHAnsi"/>
          <w:lang w:val="bg-BG"/>
        </w:rPr>
        <w:t xml:space="preserve">ността за </w:t>
      </w:r>
      <w:r w:rsidR="001B5E1E" w:rsidRPr="00AE5CD3">
        <w:rPr>
          <w:rFonts w:asciiTheme="majorHAnsi" w:hAnsiTheme="majorHAnsi"/>
          <w:lang w:val="bg-BG"/>
        </w:rPr>
        <w:t>кандидатстване</w:t>
      </w:r>
      <w:r w:rsidR="00094E1B">
        <w:rPr>
          <w:rFonts w:asciiTheme="majorHAnsi" w:hAnsiTheme="majorHAnsi"/>
          <w:lang w:val="bg-BG"/>
        </w:rPr>
        <w:t>,</w:t>
      </w:r>
      <w:r w:rsidR="001B5E1E" w:rsidRPr="00AE5CD3">
        <w:rPr>
          <w:rFonts w:asciiTheme="majorHAnsi" w:hAnsiTheme="majorHAnsi"/>
          <w:lang w:val="bg-BG"/>
        </w:rPr>
        <w:t xml:space="preserve"> съгласно</w:t>
      </w:r>
      <w:r w:rsidR="00890542" w:rsidRPr="00AE5CD3">
        <w:rPr>
          <w:rFonts w:asciiTheme="majorHAnsi" w:hAnsiTheme="majorHAnsi"/>
          <w:lang w:val="bg-BG"/>
        </w:rPr>
        <w:t xml:space="preserve"> </w:t>
      </w:r>
      <w:r w:rsidR="00BC2F7E">
        <w:rPr>
          <w:rFonts w:asciiTheme="majorHAnsi" w:hAnsiTheme="majorHAnsi"/>
          <w:lang w:val="bg-BG"/>
        </w:rPr>
        <w:t xml:space="preserve">определените в </w:t>
      </w:r>
      <w:r w:rsidR="00890542" w:rsidRPr="00AE5CD3">
        <w:rPr>
          <w:rFonts w:asciiTheme="majorHAnsi" w:hAnsiTheme="majorHAnsi"/>
          <w:lang w:val="bg-BG"/>
        </w:rPr>
        <w:t>Националната стратегия за насърчаване на малките и средните предприятия 2014-2020</w:t>
      </w:r>
      <w:r w:rsidR="007C7334">
        <w:rPr>
          <w:rFonts w:asciiTheme="majorHAnsi" w:hAnsiTheme="majorHAnsi"/>
          <w:lang w:val="bg-BG"/>
        </w:rPr>
        <w:t xml:space="preserve"> </w:t>
      </w:r>
      <w:r w:rsidR="009F1813" w:rsidRPr="00AE5CD3">
        <w:rPr>
          <w:rFonts w:asciiTheme="majorHAnsi" w:hAnsiTheme="majorHAnsi"/>
          <w:lang w:val="bg-BG"/>
        </w:rPr>
        <w:t>групи сектори: „Високотехнологични и средно</w:t>
      </w:r>
      <w:r w:rsidR="000B7942" w:rsidRPr="00AE5CD3">
        <w:rPr>
          <w:rFonts w:asciiTheme="majorHAnsi" w:hAnsiTheme="majorHAnsi"/>
          <w:lang w:val="bg-BG"/>
        </w:rPr>
        <w:t>високо</w:t>
      </w:r>
      <w:r w:rsidR="009F1813" w:rsidRPr="00AE5CD3">
        <w:rPr>
          <w:rFonts w:asciiTheme="majorHAnsi" w:hAnsiTheme="majorHAnsi"/>
          <w:lang w:val="bg-BG"/>
        </w:rPr>
        <w:t xml:space="preserve">технологични промишлени производства” или </w:t>
      </w:r>
      <w:r w:rsidR="000B7942" w:rsidRPr="00AE5CD3">
        <w:rPr>
          <w:rFonts w:asciiTheme="majorHAnsi" w:hAnsiTheme="majorHAnsi"/>
          <w:lang w:val="bg-BG"/>
        </w:rPr>
        <w:t>„Интензивни на знание услуги” или  „Нискотехнологични и средно</w:t>
      </w:r>
      <w:r w:rsidR="001B5E1E" w:rsidRPr="001B5E1E">
        <w:rPr>
          <w:rFonts w:asciiTheme="majorHAnsi" w:hAnsiTheme="majorHAnsi"/>
          <w:lang w:val="ru-RU"/>
        </w:rPr>
        <w:t xml:space="preserve"> </w:t>
      </w:r>
      <w:r w:rsidR="000B7942" w:rsidRPr="00AE5CD3">
        <w:rPr>
          <w:rFonts w:asciiTheme="majorHAnsi" w:hAnsiTheme="majorHAnsi"/>
          <w:lang w:val="bg-BG"/>
        </w:rPr>
        <w:t>нискотехнологични промишлени производства”.</w:t>
      </w:r>
    </w:p>
    <w:p w:rsidR="005A1B22" w:rsidRPr="00AE5CD3" w:rsidRDefault="005A1B22" w:rsidP="008119B6">
      <w:pPr>
        <w:pStyle w:val="afd"/>
        <w:jc w:val="both"/>
        <w:rPr>
          <w:rFonts w:asciiTheme="majorHAnsi" w:hAnsiTheme="majorHAnsi"/>
          <w:sz w:val="26"/>
          <w:szCs w:val="26"/>
          <w:lang w:val="bg-BG"/>
        </w:rPr>
      </w:pPr>
    </w:p>
    <w:p w:rsidR="005A1B22" w:rsidRPr="00AE5CD3" w:rsidRDefault="005A1B22" w:rsidP="008119B6">
      <w:pPr>
        <w:pStyle w:val="20"/>
        <w:spacing w:before="0" w:line="240" w:lineRule="auto"/>
        <w:jc w:val="both"/>
        <w:rPr>
          <w:rFonts w:asciiTheme="majorHAnsi" w:hAnsiTheme="majorHAnsi"/>
        </w:rPr>
      </w:pPr>
      <w:bookmarkStart w:id="96" w:name="_Toc476823156"/>
      <w:bookmarkStart w:id="97" w:name="_Toc514333713"/>
      <w:bookmarkStart w:id="98" w:name="_Toc514334553"/>
      <w:bookmarkStart w:id="99" w:name="_Toc514334645"/>
      <w:bookmarkStart w:id="100" w:name="_Toc476823157"/>
      <w:r w:rsidRPr="00AE5CD3">
        <w:rPr>
          <w:rFonts w:asciiTheme="majorHAnsi" w:hAnsiTheme="majorHAnsi"/>
        </w:rPr>
        <w:t>16. Приложим режим на минимални/държавни помощи</w:t>
      </w:r>
      <w:bookmarkEnd w:id="96"/>
      <w:bookmarkEnd w:id="97"/>
      <w:bookmarkEnd w:id="98"/>
      <w:bookmarkEnd w:id="99"/>
    </w:p>
    <w:p w:rsidR="005A1B22" w:rsidRPr="00AE5CD3" w:rsidRDefault="00890542" w:rsidP="008A3E5D">
      <w:pPr>
        <w:pStyle w:val="afd"/>
        <w:pBdr>
          <w:top w:val="single" w:sz="4" w:space="1" w:color="auto"/>
          <w:left w:val="single" w:sz="4" w:space="4" w:color="auto"/>
          <w:bottom w:val="single" w:sz="4" w:space="1" w:color="auto"/>
          <w:right w:val="single" w:sz="4" w:space="4" w:color="auto"/>
        </w:pBdr>
        <w:jc w:val="both"/>
        <w:rPr>
          <w:rFonts w:asciiTheme="majorHAnsi" w:hAnsiTheme="majorHAnsi"/>
          <w:bCs/>
          <w:lang w:val="bg-BG"/>
        </w:rPr>
      </w:pPr>
      <w:r w:rsidRPr="00AE5CD3">
        <w:rPr>
          <w:rFonts w:asciiTheme="majorHAnsi" w:hAnsiTheme="majorHAnsi"/>
          <w:b/>
          <w:bCs/>
          <w:lang w:val="bg-BG"/>
        </w:rPr>
        <w:t xml:space="preserve">За </w:t>
      </w:r>
      <w:r w:rsidRPr="00AE5CD3">
        <w:rPr>
          <w:rFonts w:asciiTheme="majorHAnsi" w:hAnsiTheme="majorHAnsi"/>
          <w:b/>
          <w:lang w:val="bg-BG"/>
        </w:rPr>
        <w:t xml:space="preserve">проекти по </w:t>
      </w:r>
      <w:r w:rsidR="008A3E5D" w:rsidRPr="00AE5CD3">
        <w:rPr>
          <w:rFonts w:asciiTheme="majorHAnsi" w:hAnsiTheme="majorHAnsi"/>
          <w:b/>
          <w:lang w:val="bg-BG"/>
        </w:rPr>
        <w:t xml:space="preserve">настоящата </w:t>
      </w:r>
      <w:r w:rsidRPr="00AE5CD3">
        <w:rPr>
          <w:rFonts w:asciiTheme="majorHAnsi" w:hAnsiTheme="majorHAnsi"/>
          <w:b/>
          <w:lang w:val="bg-BG"/>
        </w:rPr>
        <w:t>мярка</w:t>
      </w:r>
      <w:r w:rsidR="008A3E5D" w:rsidRPr="00AE5CD3">
        <w:rPr>
          <w:rFonts w:asciiTheme="majorHAnsi" w:hAnsiTheme="majorHAnsi"/>
          <w:b/>
          <w:lang w:val="bg-BG"/>
        </w:rPr>
        <w:t xml:space="preserve"> „МИГ Кирково-Златоград-</w:t>
      </w:r>
      <w:r w:rsidR="003F394D">
        <w:rPr>
          <w:rFonts w:asciiTheme="majorHAnsi" w:hAnsiTheme="majorHAnsi"/>
          <w:b/>
          <w:lang w:val="bg-BG"/>
        </w:rPr>
        <w:t>„</w:t>
      </w:r>
      <w:r w:rsidR="008A3E5D" w:rsidRPr="00AE5CD3">
        <w:rPr>
          <w:rFonts w:asciiTheme="majorHAnsi" w:hAnsiTheme="majorHAnsi"/>
          <w:b/>
          <w:lang w:val="bg-BG"/>
        </w:rPr>
        <w:t xml:space="preserve">Подобряване на производствения капацитет в МСП на територията на МИГ Кирково-Златоград” , включена в Стратегията за ВОМР, </w:t>
      </w:r>
      <w:r w:rsidRPr="00AE5CD3">
        <w:rPr>
          <w:rFonts w:asciiTheme="majorHAnsi" w:hAnsiTheme="majorHAnsi"/>
          <w:b/>
          <w:lang w:val="bg-BG"/>
        </w:rPr>
        <w:t xml:space="preserve"> се прилагат правилата за минимална помощ (правилото </w:t>
      </w:r>
      <w:r w:rsidR="00094E1B">
        <w:rPr>
          <w:rFonts w:asciiTheme="majorHAnsi" w:hAnsiTheme="majorHAnsi"/>
          <w:b/>
          <w:lang w:val="bg-BG"/>
        </w:rPr>
        <w:t>de minimis</w:t>
      </w:r>
      <w:r w:rsidRPr="00AE5CD3">
        <w:rPr>
          <w:rFonts w:asciiTheme="majorHAnsi" w:hAnsiTheme="majorHAnsi"/>
          <w:b/>
          <w:lang w:val="bg-BG"/>
        </w:rPr>
        <w:t xml:space="preserve">) по смисъла на Регламент (ЕС) № 1407/2013 на Комисията от 18 декември 2013 г. относно прилагането на членове 107 и 108 от Договора за функционирането на Европейския съюз към помощта </w:t>
      </w:r>
      <w:r w:rsidR="00094E1B">
        <w:rPr>
          <w:rFonts w:asciiTheme="majorHAnsi" w:hAnsiTheme="majorHAnsi"/>
          <w:b/>
          <w:lang w:val="bg-BG"/>
        </w:rPr>
        <w:t>de minimis</w:t>
      </w:r>
      <w:r w:rsidRPr="00AE5CD3">
        <w:rPr>
          <w:rFonts w:asciiTheme="majorHAnsi" w:hAnsiTheme="majorHAnsi"/>
          <w:b/>
          <w:lang w:val="bg-BG"/>
        </w:rPr>
        <w:t>, публикуван в Официален вестник на ЕС L 352 от 24.12.2013 г</w:t>
      </w:r>
      <w:r w:rsidR="008A3E5D" w:rsidRPr="00AE5CD3">
        <w:rPr>
          <w:rFonts w:asciiTheme="majorHAnsi" w:hAnsiTheme="majorHAnsi"/>
          <w:lang w:val="bg-BG"/>
        </w:rPr>
        <w:t>.</w:t>
      </w:r>
      <w:r w:rsidR="00F72947">
        <w:rPr>
          <w:rStyle w:val="ae"/>
          <w:rFonts w:asciiTheme="majorHAnsi" w:hAnsiTheme="majorHAnsi"/>
          <w:lang w:val="bg-BG"/>
        </w:rPr>
        <w:footnoteReference w:id="14"/>
      </w:r>
      <w:r w:rsidR="008A3E5D" w:rsidRPr="00AE5CD3">
        <w:rPr>
          <w:rFonts w:asciiTheme="majorHAnsi" w:hAnsiTheme="majorHAnsi"/>
          <w:lang w:val="bg-BG"/>
        </w:rPr>
        <w:t xml:space="preserve">  Там е посочено, че „Държавна помощ е всяка помощ, предоставена</w:t>
      </w:r>
      <w:r w:rsidR="008A3E5D" w:rsidRPr="00AE5CD3">
        <w:rPr>
          <w:rFonts w:asciiTheme="majorHAnsi" w:hAnsiTheme="majorHAnsi"/>
          <w:bCs/>
          <w:i/>
          <w:lang w:val="bg-BG"/>
        </w:rPr>
        <w:t xml:space="preserve"> от държавата или</w:t>
      </w:r>
      <w:r w:rsidR="007C7334">
        <w:rPr>
          <w:rFonts w:asciiTheme="majorHAnsi" w:hAnsiTheme="majorHAnsi"/>
          <w:bCs/>
          <w:i/>
          <w:lang w:val="bg-BG"/>
        </w:rPr>
        <w:t xml:space="preserve"> </w:t>
      </w:r>
      <w:r w:rsidR="008A3E5D" w:rsidRPr="00AE5CD3">
        <w:rPr>
          <w:rFonts w:asciiTheme="majorHAnsi" w:hAnsiTheme="majorHAnsi"/>
          <w:bCs/>
          <w:i/>
          <w:lang w:val="bg-BG"/>
        </w:rPr>
        <w:t>общината или за сметка на държавни или общински ресурси, пряко или чрез други лица, под каквато и да е форма, която нарушава или застрашава да наруши</w:t>
      </w:r>
      <w:r w:rsidR="00F72947">
        <w:rPr>
          <w:rFonts w:asciiTheme="majorHAnsi" w:hAnsiTheme="majorHAnsi"/>
          <w:bCs/>
          <w:i/>
          <w:lang w:val="bg-BG"/>
        </w:rPr>
        <w:t xml:space="preserve"> </w:t>
      </w:r>
      <w:r w:rsidR="008A3E5D" w:rsidRPr="00AE5CD3">
        <w:rPr>
          <w:rFonts w:asciiTheme="majorHAnsi" w:hAnsiTheme="majorHAnsi"/>
          <w:bCs/>
          <w:i/>
          <w:lang w:val="bg-BG"/>
        </w:rPr>
        <w:t>конкуренцията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държавите-членки на ЕС</w:t>
      </w:r>
      <w:r w:rsidR="008A3E5D" w:rsidRPr="00AE5CD3">
        <w:rPr>
          <w:rFonts w:asciiTheme="majorHAnsi" w:hAnsiTheme="majorHAnsi"/>
          <w:bCs/>
          <w:lang w:val="bg-BG"/>
        </w:rPr>
        <w:t>“.</w:t>
      </w:r>
    </w:p>
    <w:p w:rsidR="00025E18" w:rsidRDefault="00025E18">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p>
    <w:p w:rsidR="00025E18" w:rsidRDefault="008F2844">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Максималният размер на помощта по режим </w:t>
      </w:r>
      <w:r w:rsidR="00094E1B">
        <w:rPr>
          <w:rFonts w:asciiTheme="majorHAnsi" w:hAnsiTheme="majorHAnsi"/>
          <w:lang w:val="bg-BG"/>
        </w:rPr>
        <w:t>de minimis</w:t>
      </w:r>
      <w:r w:rsidRPr="00AE5CD3">
        <w:rPr>
          <w:rFonts w:asciiTheme="majorHAnsi" w:hAnsiTheme="majorHAnsi"/>
          <w:lang w:val="bg-BG"/>
        </w:rPr>
        <w:t xml:space="preserve">, за която се кандидатства, заедно с другите получени минимални помощи в случай на „едно и също </w:t>
      </w:r>
      <w:r w:rsidRPr="00AE5CD3">
        <w:rPr>
          <w:rFonts w:asciiTheme="majorHAnsi" w:hAnsiTheme="majorHAnsi"/>
          <w:lang w:val="bg-BG"/>
        </w:rPr>
        <w:lastRenderedPageBreak/>
        <w:t>предприятие</w:t>
      </w:r>
      <w:r w:rsidRPr="00AE5CD3">
        <w:rPr>
          <w:rStyle w:val="ae"/>
          <w:rFonts w:asciiTheme="majorHAnsi" w:hAnsiTheme="majorHAnsi"/>
          <w:lang w:val="bg-BG"/>
        </w:rPr>
        <w:footnoteReference w:id="15"/>
      </w:r>
      <w:r w:rsidRPr="00AE5CD3">
        <w:rPr>
          <w:rFonts w:asciiTheme="majorHAnsi" w:hAnsiTheme="majorHAnsi"/>
          <w:lang w:val="bg-BG"/>
        </w:rPr>
        <w:t xml:space="preserve">“, </w:t>
      </w:r>
      <w:r w:rsidRPr="00AE5CD3">
        <w:rPr>
          <w:rFonts w:asciiTheme="majorHAnsi" w:hAnsiTheme="majorHAnsi"/>
          <w:b/>
          <w:lang w:val="bg-BG"/>
        </w:rPr>
        <w:t>не може да надхвърля левовата равностойност на 200 000 евро</w:t>
      </w:r>
      <w:r w:rsidRPr="00AE5CD3">
        <w:rPr>
          <w:rFonts w:asciiTheme="majorHAnsi" w:hAnsiTheme="majorHAnsi"/>
          <w:lang w:val="bg-BG"/>
        </w:rPr>
        <w:t xml:space="preserve"> и съответно левовата равностойност на 100 000 евро, за предприятие, което осъществява </w:t>
      </w:r>
      <w:r w:rsidR="00FC6F0B">
        <w:rPr>
          <w:rFonts w:asciiTheme="majorHAnsi" w:hAnsiTheme="majorHAnsi"/>
          <w:lang w:val="bg-BG"/>
        </w:rPr>
        <w:t>автомобилни</w:t>
      </w:r>
      <w:r w:rsidRPr="00AE5CD3">
        <w:rPr>
          <w:rFonts w:asciiTheme="majorHAnsi" w:hAnsiTheme="majorHAnsi"/>
          <w:lang w:val="bg-BG"/>
        </w:rPr>
        <w:t xml:space="preserve"> товарни превози за чужда сметка, за период от три приключили бюджетни години.</w:t>
      </w:r>
    </w:p>
    <w:p w:rsidR="00025E18" w:rsidRDefault="00025E18">
      <w:pPr>
        <w:pStyle w:val="afd"/>
        <w:pBdr>
          <w:top w:val="single" w:sz="4" w:space="1" w:color="auto"/>
          <w:left w:val="single" w:sz="4" w:space="4" w:color="auto"/>
          <w:bottom w:val="single" w:sz="4" w:space="1" w:color="auto"/>
          <w:right w:val="single" w:sz="4" w:space="4" w:color="auto"/>
        </w:pBdr>
        <w:jc w:val="both"/>
        <w:rPr>
          <w:rFonts w:asciiTheme="majorHAnsi" w:hAnsiTheme="majorHAnsi"/>
          <w:bCs/>
          <w:lang w:val="bg-BG"/>
        </w:rPr>
      </w:pPr>
    </w:p>
    <w:p w:rsidR="00025E18" w:rsidRDefault="006E12BA">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bCs/>
          <w:lang w:val="bg-BG"/>
        </w:rPr>
        <w:t xml:space="preserve">Прилага се </w:t>
      </w:r>
      <w:r w:rsidRPr="00AE5CD3">
        <w:rPr>
          <w:rFonts w:asciiTheme="majorHAnsi" w:hAnsiTheme="majorHAnsi"/>
          <w:b/>
          <w:bCs/>
          <w:lang w:val="bg-BG"/>
        </w:rPr>
        <w:t xml:space="preserve">система за наблюдение на натрупването на </w:t>
      </w:r>
      <w:r w:rsidR="00FC6F0B">
        <w:rPr>
          <w:rFonts w:asciiTheme="majorHAnsi" w:hAnsiTheme="majorHAnsi"/>
          <w:b/>
          <w:bCs/>
          <w:lang w:val="bg-BG"/>
        </w:rPr>
        <w:t xml:space="preserve">минимални </w:t>
      </w:r>
      <w:r w:rsidRPr="00AE5CD3">
        <w:rPr>
          <w:rFonts w:asciiTheme="majorHAnsi" w:hAnsiTheme="majorHAnsi"/>
          <w:b/>
          <w:bCs/>
          <w:lang w:val="bg-BG"/>
        </w:rPr>
        <w:t>помощи</w:t>
      </w:r>
      <w:r w:rsidRPr="00AE5CD3">
        <w:rPr>
          <w:rFonts w:asciiTheme="majorHAnsi" w:hAnsiTheme="majorHAnsi"/>
          <w:bCs/>
          <w:lang w:val="bg-BG"/>
        </w:rPr>
        <w:t xml:space="preserve">, предвиждаща: </w:t>
      </w:r>
    </w:p>
    <w:p w:rsidR="005A1B22" w:rsidRPr="00AE5CD3" w:rsidRDefault="005A1B22" w:rsidP="000B7942">
      <w:pPr>
        <w:pStyle w:val="afd"/>
        <w:pBdr>
          <w:top w:val="single" w:sz="4" w:space="1" w:color="auto"/>
          <w:left w:val="single" w:sz="4" w:space="4" w:color="auto"/>
          <w:bottom w:val="single" w:sz="4" w:space="1" w:color="auto"/>
          <w:right w:val="single" w:sz="4" w:space="4" w:color="auto"/>
        </w:pBdr>
        <w:ind w:firstLine="567"/>
        <w:jc w:val="both"/>
        <w:rPr>
          <w:rFonts w:asciiTheme="majorHAnsi" w:hAnsiTheme="majorHAnsi"/>
          <w:lang w:val="bg-BG"/>
        </w:rPr>
      </w:pPr>
      <w:r w:rsidRPr="00AE5CD3">
        <w:rPr>
          <w:rFonts w:asciiTheme="majorHAnsi" w:hAnsiTheme="majorHAnsi"/>
          <w:lang w:val="bg-BG"/>
        </w:rPr>
        <w:t xml:space="preserve">1. Да не се допуска общият размер на минималната помощ, предоставяна на „едно и също предприятие“в България след натрупване с други минимални помощи, получени от предприятието за три поредни </w:t>
      </w:r>
      <w:r w:rsidR="00CC21BA">
        <w:rPr>
          <w:rFonts w:asciiTheme="majorHAnsi" w:hAnsiTheme="majorHAnsi"/>
          <w:lang w:val="bg-BG"/>
        </w:rPr>
        <w:t xml:space="preserve">бюджетни </w:t>
      </w:r>
      <w:r w:rsidRPr="00AE5CD3">
        <w:rPr>
          <w:rFonts w:asciiTheme="majorHAnsi" w:hAnsiTheme="majorHAnsi"/>
          <w:lang w:val="bg-BG"/>
        </w:rPr>
        <w:t>години</w:t>
      </w:r>
      <w:r w:rsidR="00FC6F0B">
        <w:rPr>
          <w:rStyle w:val="ae"/>
          <w:rFonts w:asciiTheme="majorHAnsi" w:hAnsiTheme="majorHAnsi"/>
          <w:lang w:val="bg-BG"/>
        </w:rPr>
        <w:footnoteReference w:id="16"/>
      </w:r>
      <w:r w:rsidR="00FC6F0B">
        <w:rPr>
          <w:rFonts w:asciiTheme="majorHAnsi" w:hAnsiTheme="majorHAnsi"/>
          <w:lang w:val="bg-BG"/>
        </w:rPr>
        <w:t xml:space="preserve"> </w:t>
      </w:r>
      <w:r w:rsidRPr="00AE5CD3">
        <w:rPr>
          <w:rFonts w:asciiTheme="majorHAnsi" w:hAnsiTheme="majorHAnsi"/>
          <w:lang w:val="bg-BG"/>
        </w:rPr>
        <w:t xml:space="preserve"> да надхвърли левовата равностойност на 200 000 евро, а за отрасъл „</w:t>
      </w:r>
      <w:r w:rsidR="00FC6F0B">
        <w:rPr>
          <w:rFonts w:asciiTheme="majorHAnsi" w:hAnsiTheme="majorHAnsi"/>
          <w:lang w:val="bg-BG"/>
        </w:rPr>
        <w:t>автомобилни товарни превози</w:t>
      </w:r>
      <w:r w:rsidRPr="00AE5CD3">
        <w:rPr>
          <w:rFonts w:asciiTheme="majorHAnsi" w:hAnsiTheme="majorHAnsi"/>
          <w:lang w:val="bg-BG"/>
        </w:rPr>
        <w:t xml:space="preserve">” - левовата равностойност на 100 000 евро. </w:t>
      </w:r>
    </w:p>
    <w:p w:rsidR="008F2844" w:rsidRPr="00AE5CD3" w:rsidRDefault="005A1B22" w:rsidP="000B7942">
      <w:pPr>
        <w:pStyle w:val="afd"/>
        <w:pBdr>
          <w:top w:val="single" w:sz="4" w:space="1" w:color="auto"/>
          <w:left w:val="single" w:sz="4" w:space="4" w:color="auto"/>
          <w:bottom w:val="single" w:sz="4" w:space="1" w:color="auto"/>
          <w:right w:val="single" w:sz="4" w:space="4" w:color="auto"/>
        </w:pBdr>
        <w:ind w:firstLine="567"/>
        <w:jc w:val="both"/>
        <w:rPr>
          <w:sz w:val="23"/>
          <w:szCs w:val="23"/>
          <w:lang w:val="bg-BG"/>
        </w:rPr>
      </w:pPr>
      <w:r w:rsidRPr="00AE5CD3">
        <w:rPr>
          <w:rFonts w:asciiTheme="majorHAnsi" w:hAnsiTheme="majorHAnsi"/>
          <w:lang w:val="bg-BG"/>
        </w:rPr>
        <w:t>2. Последствията при не</w:t>
      </w:r>
      <w:r w:rsidR="008F2844" w:rsidRPr="00AE5CD3">
        <w:rPr>
          <w:rFonts w:asciiTheme="majorHAnsi" w:hAnsiTheme="majorHAnsi"/>
          <w:lang w:val="bg-BG"/>
        </w:rPr>
        <w:t xml:space="preserve">спазване на забраната по т.„1” са </w:t>
      </w:r>
      <w:r w:rsidRPr="00AE5CD3">
        <w:rPr>
          <w:rFonts w:asciiTheme="majorHAnsi" w:hAnsiTheme="majorHAnsi"/>
          <w:lang w:val="bg-BG"/>
        </w:rPr>
        <w:t xml:space="preserve"> отказване на помощта, служебно намаляване на помощта или възстановяване на неправомерно </w:t>
      </w:r>
      <w:r w:rsidR="00F72947">
        <w:rPr>
          <w:rFonts w:asciiTheme="majorHAnsi" w:hAnsiTheme="majorHAnsi"/>
          <w:lang w:val="bg-BG"/>
        </w:rPr>
        <w:t>получена минимална</w:t>
      </w:r>
      <w:r w:rsidRPr="00AE5CD3">
        <w:rPr>
          <w:rFonts w:asciiTheme="majorHAnsi" w:hAnsiTheme="majorHAnsi"/>
          <w:lang w:val="bg-BG"/>
        </w:rPr>
        <w:t xml:space="preserve"> помощ по реда на </w:t>
      </w:r>
      <w:r w:rsidR="008F2844" w:rsidRPr="00AE5CD3">
        <w:rPr>
          <w:rFonts w:asciiTheme="majorHAnsi" w:hAnsiTheme="majorHAnsi"/>
          <w:sz w:val="23"/>
          <w:szCs w:val="23"/>
          <w:lang w:val="bg-BG"/>
        </w:rPr>
        <w:t>Данъчно-осигурителния процесуален кодекс.</w:t>
      </w:r>
    </w:p>
    <w:p w:rsidR="005A1B22" w:rsidRPr="00AE5CD3" w:rsidRDefault="005A1B22" w:rsidP="000B7942">
      <w:pPr>
        <w:pStyle w:val="afd"/>
        <w:pBdr>
          <w:top w:val="single" w:sz="4" w:space="1" w:color="auto"/>
          <w:left w:val="single" w:sz="4" w:space="4" w:color="auto"/>
          <w:bottom w:val="single" w:sz="4" w:space="1" w:color="auto"/>
          <w:right w:val="single" w:sz="4" w:space="4" w:color="auto"/>
        </w:pBdr>
        <w:ind w:firstLine="567"/>
        <w:jc w:val="both"/>
        <w:rPr>
          <w:rFonts w:asciiTheme="majorHAnsi" w:hAnsiTheme="majorHAnsi"/>
          <w:lang w:val="bg-BG"/>
        </w:rPr>
      </w:pPr>
      <w:r w:rsidRPr="00AE5CD3">
        <w:rPr>
          <w:rFonts w:asciiTheme="majorHAnsi" w:hAnsiTheme="majorHAnsi"/>
          <w:lang w:val="bg-BG"/>
        </w:rPr>
        <w:t xml:space="preserve">3. Изискване за представяне от кандидата (при кандидатстване и преди сключване на договора, в случай че кандидатът бъде одобрен и в случай, че е настъпила промяна в декларираните при кандидатстване обстоятелства) на декларация по образец в писмена форма относно получаването на други минимални помощи през двете предшестващи </w:t>
      </w:r>
      <w:r w:rsidR="00AD2AE7">
        <w:rPr>
          <w:rFonts w:asciiTheme="majorHAnsi" w:hAnsiTheme="majorHAnsi"/>
          <w:lang w:val="bg-BG"/>
        </w:rPr>
        <w:t>бюджетни</w:t>
      </w:r>
      <w:r w:rsidRPr="00AE5CD3">
        <w:rPr>
          <w:rFonts w:asciiTheme="majorHAnsi" w:hAnsiTheme="majorHAnsi"/>
          <w:lang w:val="bg-BG"/>
        </w:rPr>
        <w:t xml:space="preserve"> години и през текущата година.</w:t>
      </w:r>
    </w:p>
    <w:p w:rsidR="005A1B22" w:rsidRPr="00AE5CD3" w:rsidRDefault="005A1B22" w:rsidP="000B7942">
      <w:pPr>
        <w:pStyle w:val="afd"/>
        <w:pBdr>
          <w:top w:val="single" w:sz="4" w:space="1" w:color="auto"/>
          <w:left w:val="single" w:sz="4" w:space="4" w:color="auto"/>
          <w:bottom w:val="single" w:sz="4" w:space="1" w:color="auto"/>
          <w:right w:val="single" w:sz="4" w:space="4" w:color="auto"/>
        </w:pBdr>
        <w:ind w:firstLine="567"/>
        <w:jc w:val="both"/>
        <w:rPr>
          <w:rFonts w:asciiTheme="majorHAnsi" w:hAnsiTheme="majorHAnsi"/>
          <w:lang w:val="bg-BG"/>
        </w:rPr>
      </w:pPr>
      <w:r w:rsidRPr="00AE5CD3">
        <w:rPr>
          <w:rFonts w:asciiTheme="majorHAnsi" w:hAnsiTheme="majorHAnsi"/>
          <w:lang w:val="bg-BG"/>
        </w:rPr>
        <w:t xml:space="preserve">4. Проекта на административен договор за безвъзмездна финансова помощ, приложение към условията за изпълнение, следва задължително да съдържа информация относно вида на отпуснатата помощ, както и за възможните последствия от предоставянето й, включително условията за натрупване и възможността за възстановяване на неправомерно </w:t>
      </w:r>
      <w:r w:rsidR="00F72947">
        <w:rPr>
          <w:rFonts w:asciiTheme="majorHAnsi" w:hAnsiTheme="majorHAnsi"/>
          <w:lang w:val="bg-BG"/>
        </w:rPr>
        <w:t>получена минимална по</w:t>
      </w:r>
      <w:r w:rsidRPr="00AE5CD3">
        <w:rPr>
          <w:rFonts w:asciiTheme="majorHAnsi" w:hAnsiTheme="majorHAnsi"/>
          <w:lang w:val="bg-BG"/>
        </w:rPr>
        <w:t>мощ по реда на чл. 37 от Закона за държавните помощи.</w:t>
      </w:r>
    </w:p>
    <w:p w:rsidR="005A1B22" w:rsidRPr="00AE5CD3" w:rsidRDefault="005A1B22" w:rsidP="000B7942">
      <w:pPr>
        <w:pStyle w:val="afd"/>
        <w:pBdr>
          <w:top w:val="single" w:sz="4" w:space="1" w:color="auto"/>
          <w:left w:val="single" w:sz="4" w:space="4" w:color="auto"/>
          <w:bottom w:val="single" w:sz="4" w:space="1" w:color="auto"/>
          <w:right w:val="single" w:sz="4" w:space="4" w:color="auto"/>
        </w:pBdr>
        <w:ind w:firstLine="567"/>
        <w:jc w:val="both"/>
        <w:rPr>
          <w:rFonts w:asciiTheme="majorHAnsi" w:hAnsiTheme="majorHAnsi"/>
          <w:i/>
          <w:iCs/>
          <w:lang w:val="bg-BG"/>
        </w:rPr>
      </w:pPr>
      <w:r w:rsidRPr="00AE5CD3">
        <w:rPr>
          <w:rFonts w:asciiTheme="majorHAnsi" w:hAnsiTheme="majorHAnsi"/>
          <w:lang w:val="bg-BG"/>
        </w:rPr>
        <w:t xml:space="preserve">5. Изисквания при оценка на проектните предложения задължително да се проверява дали предприятията (в рамките на дефиницията за „едно и също предприятие“) са получили други минимални помощи през текущата </w:t>
      </w:r>
      <w:r w:rsidR="00AD2AE7">
        <w:rPr>
          <w:rFonts w:asciiTheme="majorHAnsi" w:hAnsiTheme="majorHAnsi"/>
          <w:lang w:val="bg-BG"/>
        </w:rPr>
        <w:t>бюджетна</w:t>
      </w:r>
      <w:r w:rsidRPr="00AE5CD3">
        <w:rPr>
          <w:rFonts w:asciiTheme="majorHAnsi" w:hAnsiTheme="majorHAnsi"/>
          <w:lang w:val="bg-BG"/>
        </w:rPr>
        <w:t xml:space="preserve"> година и през двете предшестващи </w:t>
      </w:r>
      <w:r w:rsidR="00AD2AE7">
        <w:rPr>
          <w:rFonts w:asciiTheme="majorHAnsi" w:hAnsiTheme="majorHAnsi"/>
          <w:lang w:val="bg-BG"/>
        </w:rPr>
        <w:t>бюджетни</w:t>
      </w:r>
      <w:r w:rsidRPr="00AE5CD3">
        <w:rPr>
          <w:rFonts w:asciiTheme="majorHAnsi" w:hAnsiTheme="majorHAnsi"/>
          <w:lang w:val="bg-BG"/>
        </w:rPr>
        <w:t xml:space="preserve"> години и дали с настоящата безвъзмездна помощ ще бъде надхвърлен тавана за помощта </w:t>
      </w:r>
      <w:r w:rsidR="00094E1B">
        <w:rPr>
          <w:rFonts w:asciiTheme="majorHAnsi" w:hAnsiTheme="majorHAnsi"/>
          <w:i/>
          <w:iCs/>
          <w:lang w:val="bg-BG"/>
        </w:rPr>
        <w:t>de minimis</w:t>
      </w:r>
      <w:r w:rsidRPr="00AE5CD3">
        <w:rPr>
          <w:rFonts w:asciiTheme="majorHAnsi" w:hAnsiTheme="majorHAnsi"/>
          <w:i/>
          <w:iCs/>
          <w:lang w:val="bg-BG"/>
        </w:rPr>
        <w:t>.</w:t>
      </w:r>
    </w:p>
    <w:p w:rsidR="00025E18" w:rsidRPr="00025E18" w:rsidRDefault="00025E18">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ru-RU"/>
        </w:rPr>
      </w:pPr>
    </w:p>
    <w:p w:rsidR="00025E18" w:rsidRDefault="005A1B22">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5A1B22" w:rsidRPr="00AE5CD3" w:rsidRDefault="005A1B22" w:rsidP="008119B6">
      <w:pPr>
        <w:pStyle w:val="afd"/>
        <w:numPr>
          <w:ilvl w:val="0"/>
          <w:numId w:val="21"/>
        </w:numPr>
        <w:pBdr>
          <w:top w:val="single" w:sz="4" w:space="1" w:color="auto"/>
          <w:left w:val="single" w:sz="4" w:space="4" w:color="auto"/>
          <w:bottom w:val="single" w:sz="4" w:space="1" w:color="auto"/>
          <w:right w:val="single" w:sz="4" w:space="4" w:color="auto"/>
        </w:pBdr>
        <w:ind w:left="284" w:hanging="284"/>
        <w:jc w:val="both"/>
        <w:rPr>
          <w:rFonts w:asciiTheme="majorHAnsi" w:hAnsiTheme="majorHAnsi"/>
          <w:lang w:val="bg-BG"/>
        </w:rPr>
      </w:pPr>
      <w:r w:rsidRPr="00AE5CD3">
        <w:rPr>
          <w:rFonts w:asciiTheme="majorHAnsi" w:hAnsiTheme="majorHAnsi"/>
          <w:lang w:val="bg-BG"/>
        </w:rPr>
        <w:t>предприятието кандидат;</w:t>
      </w:r>
    </w:p>
    <w:p w:rsidR="005A1B22" w:rsidRPr="00AE5CD3" w:rsidRDefault="005A1B22" w:rsidP="008119B6">
      <w:pPr>
        <w:pStyle w:val="afd"/>
        <w:numPr>
          <w:ilvl w:val="0"/>
          <w:numId w:val="21"/>
        </w:numPr>
        <w:pBdr>
          <w:top w:val="single" w:sz="4" w:space="1" w:color="auto"/>
          <w:left w:val="single" w:sz="4" w:space="4" w:color="auto"/>
          <w:bottom w:val="single" w:sz="4" w:space="1" w:color="auto"/>
          <w:right w:val="single" w:sz="4" w:space="4" w:color="auto"/>
        </w:pBdr>
        <w:ind w:left="284" w:hanging="284"/>
        <w:jc w:val="both"/>
        <w:rPr>
          <w:rFonts w:asciiTheme="majorHAnsi" w:hAnsiTheme="majorHAnsi"/>
          <w:lang w:val="bg-BG"/>
        </w:rPr>
      </w:pPr>
      <w:r w:rsidRPr="00AE5CD3">
        <w:rPr>
          <w:rFonts w:asciiTheme="majorHAnsi" w:hAnsiTheme="majorHAnsi"/>
          <w:lang w:val="bg-BG"/>
        </w:rPr>
        <w:t>предприятията, с които предприятието кандидат образува „едно и също предприятие“ по смисъла на чл. 2, пар. 2 на Регламент (ЕС) № 1407/2013;</w:t>
      </w:r>
    </w:p>
    <w:p w:rsidR="005A1B22" w:rsidRPr="00AE5CD3" w:rsidRDefault="005A1B22" w:rsidP="008119B6">
      <w:pPr>
        <w:pStyle w:val="afd"/>
        <w:numPr>
          <w:ilvl w:val="0"/>
          <w:numId w:val="21"/>
        </w:numPr>
        <w:pBdr>
          <w:top w:val="single" w:sz="4" w:space="1" w:color="auto"/>
          <w:left w:val="single" w:sz="4" w:space="4" w:color="auto"/>
          <w:bottom w:val="single" w:sz="4" w:space="1" w:color="auto"/>
          <w:right w:val="single" w:sz="4" w:space="4" w:color="auto"/>
        </w:pBdr>
        <w:ind w:left="284" w:hanging="284"/>
        <w:jc w:val="both"/>
        <w:rPr>
          <w:rFonts w:asciiTheme="majorHAnsi" w:hAnsiTheme="majorHAnsi"/>
          <w:lang w:val="bg-BG"/>
        </w:rPr>
      </w:pPr>
      <w:r w:rsidRPr="00AE5CD3">
        <w:rPr>
          <w:rFonts w:asciiTheme="majorHAnsi" w:hAnsiTheme="majorHAnsi"/>
          <w:lang w:val="bg-BG"/>
        </w:rPr>
        <w:lastRenderedPageBreak/>
        <w:t>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1407/2013;</w:t>
      </w:r>
    </w:p>
    <w:p w:rsidR="005A1B22" w:rsidRPr="00AE5CD3" w:rsidRDefault="005A1B22" w:rsidP="008119B6">
      <w:pPr>
        <w:pStyle w:val="3"/>
        <w:pBdr>
          <w:top w:val="single" w:sz="4" w:space="1" w:color="auto"/>
          <w:left w:val="single" w:sz="4" w:space="4" w:color="auto"/>
          <w:bottom w:val="single" w:sz="4" w:space="1" w:color="auto"/>
          <w:right w:val="single" w:sz="4" w:space="4" w:color="auto"/>
        </w:pBdr>
        <w:tabs>
          <w:tab w:val="clear" w:pos="926"/>
        </w:tabs>
        <w:spacing w:line="240" w:lineRule="auto"/>
        <w:ind w:left="284" w:hanging="284"/>
        <w:jc w:val="both"/>
        <w:rPr>
          <w:rFonts w:asciiTheme="majorHAnsi" w:hAnsiTheme="majorHAnsi"/>
          <w:sz w:val="24"/>
          <w:szCs w:val="24"/>
        </w:rPr>
      </w:pPr>
      <w:r w:rsidRPr="00AE5CD3">
        <w:rPr>
          <w:rFonts w:asciiTheme="majorHAnsi" w:hAnsiTheme="majorHAnsi"/>
          <w:sz w:val="24"/>
          <w:szCs w:val="24"/>
        </w:rPr>
        <w:t xml:space="preserve">предприятията, образуващи „едно и също предприятие“ с предприятието кандидат, които са се възползвали от помощ </w:t>
      </w:r>
      <w:r w:rsidR="00094E1B">
        <w:rPr>
          <w:rFonts w:asciiTheme="majorHAnsi" w:hAnsiTheme="majorHAnsi"/>
          <w:sz w:val="24"/>
          <w:szCs w:val="24"/>
        </w:rPr>
        <w:t>de minimis</w:t>
      </w:r>
      <w:r w:rsidRPr="00AE5CD3">
        <w:rPr>
          <w:rFonts w:asciiTheme="majorHAnsi" w:hAnsiTheme="majorHAnsi"/>
          <w:sz w:val="24"/>
          <w:szCs w:val="24"/>
        </w:rPr>
        <w:t>, получена преди разделяне или отделяне, съгласно чл. 3, пар. 9 от Регламент (ЕС) № 1407/2013.</w:t>
      </w:r>
    </w:p>
    <w:p w:rsidR="00E32C14" w:rsidRDefault="00E32C14"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Pr>
          <w:rFonts w:asciiTheme="majorHAnsi" w:hAnsiTheme="majorHAnsi"/>
          <w:lang w:val="bg-BG"/>
        </w:rPr>
        <w:t>Помощта се смята за получена от момента на подписване на договор за предоставяне на финансова помощ, независимо от  датата на реалното й изплащане.</w:t>
      </w:r>
    </w:p>
    <w:p w:rsidR="00E32C14" w:rsidRDefault="00E32C14"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За проверка на горните обстоятелства, данните за получени минимални помощи през двете предшестващи приключени </w:t>
      </w:r>
      <w:r w:rsidR="00AD2AE7">
        <w:rPr>
          <w:rFonts w:asciiTheme="majorHAnsi" w:hAnsiTheme="majorHAnsi"/>
          <w:lang w:val="bg-BG"/>
        </w:rPr>
        <w:t>бюджетни</w:t>
      </w:r>
      <w:r w:rsidRPr="00AE5CD3">
        <w:rPr>
          <w:rFonts w:asciiTheme="majorHAnsi" w:hAnsiTheme="majorHAnsi"/>
          <w:lang w:val="bg-BG"/>
        </w:rPr>
        <w:t xml:space="preserve"> години и през текущата година следва да бъдат надлежно посочени от кандидатите в Декларация за минимални помощи, попълнена по образец, част от Условията за кандидатстване. Декларацията за минимални помощи се представя от кандидатите на етап кандидатстване и преди сключване на Административния договор за безвъзмездна финансова.</w:t>
      </w:r>
    </w:p>
    <w:p w:rsidR="0013793D" w:rsidRPr="00025E18" w:rsidRDefault="0013793D"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ru-RU"/>
        </w:rPr>
      </w:pP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Праговете, посочени по-горе не могат да бъдат заобикаляни чрез изкуствено разделяне на проекти със сходни характеристики и бенефициенти. Спазването на праговете</w:t>
      </w:r>
      <w:r w:rsidR="007C7334">
        <w:rPr>
          <w:rFonts w:asciiTheme="majorHAnsi" w:hAnsiTheme="majorHAnsi"/>
          <w:lang w:val="bg-BG"/>
        </w:rPr>
        <w:t>,</w:t>
      </w:r>
      <w:r w:rsidRPr="00AE5CD3">
        <w:rPr>
          <w:rFonts w:asciiTheme="majorHAnsi" w:hAnsiTheme="majorHAnsi"/>
          <w:lang w:val="bg-BG"/>
        </w:rPr>
        <w:t xml:space="preserve"> освен чрез Декларацията за минимални помощи</w:t>
      </w:r>
      <w:r w:rsidR="007C7334">
        <w:rPr>
          <w:rFonts w:asciiTheme="majorHAnsi" w:hAnsiTheme="majorHAnsi"/>
          <w:lang w:val="bg-BG"/>
        </w:rPr>
        <w:t xml:space="preserve">, </w:t>
      </w:r>
      <w:r w:rsidRPr="00AE5CD3">
        <w:rPr>
          <w:rFonts w:asciiTheme="majorHAnsi" w:hAnsiTheme="majorHAnsi"/>
          <w:lang w:val="bg-BG"/>
        </w:rPr>
        <w:t xml:space="preserve"> ще бъде проверявано и в Информационна система „Регистър на минималните помощи“, Публичния регистър на Европейската комисия, Информационната система за управление и наблюдение на Структурните инструменти на ЕС в България (ИСУН 2020) и Търговския </w:t>
      </w:r>
      <w:r w:rsidR="00AB140C">
        <w:rPr>
          <w:rFonts w:asciiTheme="majorHAnsi" w:hAnsiTheme="majorHAnsi"/>
          <w:lang w:val="bg-BG"/>
        </w:rPr>
        <w:t>регистър и регистъра на ЮЛНЦ</w:t>
      </w:r>
      <w:r w:rsidRPr="00AE5CD3">
        <w:rPr>
          <w:rFonts w:asciiTheme="majorHAnsi" w:hAnsiTheme="majorHAnsi"/>
          <w:lang w:val="bg-BG"/>
        </w:rPr>
        <w:t>.</w:t>
      </w:r>
    </w:p>
    <w:p w:rsidR="00D1294E" w:rsidRPr="00025E18" w:rsidRDefault="00D1294E"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ru-RU"/>
        </w:rPr>
      </w:pP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При определяне дали е спазен максимално допустимият размер и съответно интензитет на помощта, ще се взема предвид както размера на минималната помощ, за която се кандидатства, така и общият размер на вече получена минимална помощ за дейности, проект или предприятие (извън тези, за които се кандидатства), независимо от това дали тази подкрепа е финансирана от местни, регионални, национални или общностни източници. Допълнително, 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rsidR="00D1294E" w:rsidRPr="00025E18" w:rsidRDefault="00D1294E"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ru-RU"/>
        </w:rPr>
      </w:pP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Преди сключване на административния договор за предоставяне на безвъзмездна финансова помощ, Управляващият орган ще извършва документална проверка на декларираните данни от одобрените кандидати в Декларацията за минимални помощи.</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Администраторът на помощ информира министъра на финансите в срок до три дни от предоставянето на всяка помощ, попадаща в обхвата на минимална помощ, чрез Информационната система „Регистър на минималните помощи”. Администратор на помощта е УО на ОПИК.</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Натрупването </w:t>
      </w:r>
      <w:r w:rsidR="00FC6F0B">
        <w:rPr>
          <w:rFonts w:asciiTheme="majorHAnsi" w:hAnsiTheme="majorHAnsi"/>
          <w:lang w:val="bg-BG"/>
        </w:rPr>
        <w:t xml:space="preserve">на минимални помощи, предоставяне  на територията на Република България, </w:t>
      </w:r>
      <w:r w:rsidRPr="00AE5CD3">
        <w:rPr>
          <w:rFonts w:asciiTheme="majorHAnsi" w:hAnsiTheme="majorHAnsi"/>
          <w:lang w:val="bg-BG"/>
        </w:rPr>
        <w:t xml:space="preserve">в рамките на едно и също предприятие (определените тавани на помощта) съгласно разпоредбите на чл. 3, ал. 5-6 на Регламент (ЕС) № 1407/2013 се контролира независимо от формата на помощта </w:t>
      </w:r>
      <w:r w:rsidR="00094E1B">
        <w:rPr>
          <w:rFonts w:asciiTheme="majorHAnsi" w:hAnsiTheme="majorHAnsi"/>
          <w:lang w:val="bg-BG"/>
        </w:rPr>
        <w:t>de minimis</w:t>
      </w:r>
      <w:r w:rsidRPr="00AE5CD3">
        <w:rPr>
          <w:rFonts w:asciiTheme="majorHAnsi" w:hAnsiTheme="majorHAnsi"/>
          <w:lang w:val="bg-BG"/>
        </w:rPr>
        <w:t xml:space="preserve"> или от преследваната цел и без значение дали предоставената помощ се финансира изцяло или частично със средства, произхождащи от ЕС. Периодът от три приключили </w:t>
      </w:r>
      <w:r w:rsidR="00AD2AE7">
        <w:rPr>
          <w:rFonts w:asciiTheme="majorHAnsi" w:hAnsiTheme="majorHAnsi"/>
          <w:lang w:val="bg-BG"/>
        </w:rPr>
        <w:t>бюджетни</w:t>
      </w:r>
      <w:r w:rsidRPr="00AE5CD3">
        <w:rPr>
          <w:rFonts w:asciiTheme="majorHAnsi" w:hAnsiTheme="majorHAnsi"/>
          <w:lang w:val="bg-BG"/>
        </w:rPr>
        <w:t xml:space="preserve"> години се определя съгласно националните правила. За целите на определянето на тавана, помощта се изразява като парични безвъзмездни средства. Всички използвани стойности са в </w:t>
      </w:r>
      <w:r w:rsidRPr="00AE5CD3">
        <w:rPr>
          <w:rFonts w:asciiTheme="majorHAnsi" w:hAnsiTheme="majorHAnsi"/>
          <w:lang w:val="bg-BG"/>
        </w:rPr>
        <w:lastRenderedPageBreak/>
        <w:t>брутно изражение, т.е. преди облагане с данъци или други такси. В случаите, в които помощта се отпуска под форма, различна от безвъзмездна помощ, размерът на помощта е брутният еквивалент на безвъзмездна помощ. Помощ, изплащана на траншове, се сконтира към стойността ѝ към момента на нейното предоставяне. Лихвеният процент, който се използва за сконтиране, е сконтовият процент, приложим към момента на отпускане на помощта.</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Контролирането на натрупването в рамките на едно и също предприятие съгласно разпоредбите на чл. 5 на Регламент (ЕС) № 1407/2013 ще се извършва при спазване на следните условия:</w:t>
      </w:r>
    </w:p>
    <w:p w:rsidR="005A1B22" w:rsidRPr="00AE5CD3" w:rsidRDefault="005A1B22" w:rsidP="008119B6">
      <w:pPr>
        <w:pStyle w:val="afd"/>
        <w:numPr>
          <w:ilvl w:val="0"/>
          <w:numId w:val="15"/>
        </w:numPr>
        <w:pBdr>
          <w:top w:val="single" w:sz="4" w:space="1" w:color="auto"/>
          <w:left w:val="single" w:sz="4" w:space="4" w:color="auto"/>
          <w:bottom w:val="single" w:sz="4" w:space="1" w:color="auto"/>
          <w:right w:val="single" w:sz="4" w:space="4" w:color="auto"/>
        </w:pBdr>
        <w:ind w:left="284" w:hanging="284"/>
        <w:jc w:val="both"/>
        <w:rPr>
          <w:rFonts w:asciiTheme="majorHAnsi" w:hAnsiTheme="majorHAnsi"/>
          <w:lang w:val="bg-BG"/>
        </w:rPr>
      </w:pPr>
      <w:r w:rsidRPr="00AE5CD3">
        <w:rPr>
          <w:rFonts w:asciiTheme="majorHAnsi" w:hAnsiTheme="majorHAnsi"/>
          <w:lang w:val="bg-BG"/>
        </w:rPr>
        <w:t xml:space="preserve">Когато дадено предприятие извършва дейност в сектора на рибарството и аквакултурите, както и в един или повече от секторите или извършва други дейности, попадащи в приложното поле на Регламент (ЕС) № 1407/2013, помощта </w:t>
      </w:r>
      <w:r w:rsidR="00094E1B">
        <w:rPr>
          <w:rFonts w:asciiTheme="majorHAnsi" w:hAnsiTheme="majorHAnsi"/>
          <w:lang w:val="bg-BG"/>
        </w:rPr>
        <w:t>de minimis</w:t>
      </w:r>
      <w:r w:rsidRPr="00AE5CD3">
        <w:rPr>
          <w:rFonts w:asciiTheme="majorHAnsi" w:hAnsiTheme="majorHAnsi"/>
          <w:lang w:val="bg-BG"/>
        </w:rPr>
        <w:t>,</w:t>
      </w:r>
      <w:bookmarkStart w:id="101" w:name="page47"/>
      <w:bookmarkEnd w:id="101"/>
      <w:r w:rsidRPr="00AE5CD3">
        <w:rPr>
          <w:rFonts w:asciiTheme="majorHAnsi" w:hAnsiTheme="majorHAnsi"/>
          <w:lang w:val="bg-BG"/>
        </w:rPr>
        <w:t xml:space="preserve"> отпусната за дейности в сектора на рибарството и аквакултурите може да се кумулира с помощ </w:t>
      </w:r>
      <w:r w:rsidR="00094E1B">
        <w:rPr>
          <w:rFonts w:asciiTheme="majorHAnsi" w:hAnsiTheme="majorHAnsi"/>
          <w:lang w:val="bg-BG"/>
        </w:rPr>
        <w:t>de minimis</w:t>
      </w:r>
      <w:r w:rsidRPr="00AE5CD3">
        <w:rPr>
          <w:rFonts w:asciiTheme="majorHAnsi" w:hAnsiTheme="majorHAnsi"/>
          <w:lang w:val="bg-BG"/>
        </w:rPr>
        <w:t xml:space="preserve">, предоставена за последния посочен сектор/последните посочени сектори или дейности до съответния таван, определен в член 3, параграф 2 от Регламент (ЕС) № 1407/2013, при условие че се гарантира чрез подходящи средства — чрез разделение/демаркация на дейностите или разграничаване на разходите, че дейностите в сектора на рибарството и аквакултурите не се ползват от помощи </w:t>
      </w:r>
      <w:r w:rsidR="00094E1B">
        <w:rPr>
          <w:rFonts w:asciiTheme="majorHAnsi" w:hAnsiTheme="majorHAnsi"/>
          <w:lang w:val="bg-BG"/>
        </w:rPr>
        <w:t>de minimis</w:t>
      </w:r>
      <w:r w:rsidRPr="00AE5CD3">
        <w:rPr>
          <w:rFonts w:asciiTheme="majorHAnsi" w:hAnsiTheme="majorHAnsi"/>
          <w:lang w:val="bg-BG"/>
        </w:rPr>
        <w:t>, предоставени в съответствие с Регламент (ЕС) № 1407/2013;</w:t>
      </w:r>
    </w:p>
    <w:p w:rsidR="005A1B22" w:rsidRPr="00AE5CD3" w:rsidRDefault="005A1B22" w:rsidP="008119B6">
      <w:pPr>
        <w:pStyle w:val="3"/>
        <w:numPr>
          <w:ilvl w:val="0"/>
          <w:numId w:val="15"/>
        </w:numPr>
        <w:pBdr>
          <w:top w:val="single" w:sz="4" w:space="1" w:color="auto"/>
          <w:left w:val="single" w:sz="4" w:space="4" w:color="auto"/>
          <w:bottom w:val="single" w:sz="4" w:space="1" w:color="auto"/>
          <w:right w:val="single" w:sz="4" w:space="4" w:color="auto"/>
        </w:pBdr>
        <w:spacing w:line="240" w:lineRule="auto"/>
        <w:ind w:left="284" w:hanging="284"/>
        <w:jc w:val="both"/>
        <w:rPr>
          <w:rFonts w:asciiTheme="majorHAnsi" w:hAnsiTheme="majorHAnsi"/>
          <w:sz w:val="24"/>
          <w:szCs w:val="24"/>
        </w:rPr>
      </w:pPr>
      <w:r w:rsidRPr="00AE5CD3">
        <w:rPr>
          <w:rFonts w:asciiTheme="majorHAnsi" w:hAnsiTheme="majorHAnsi"/>
          <w:sz w:val="24"/>
          <w:szCs w:val="24"/>
        </w:rPr>
        <w:t xml:space="preserve">Когато предприятие участва в сектора на рибарството и аквакултурите, както и в първичното производство на селскостопански продукти, помощта </w:t>
      </w:r>
      <w:r w:rsidR="00094E1B">
        <w:rPr>
          <w:rFonts w:asciiTheme="majorHAnsi" w:hAnsiTheme="majorHAnsi"/>
          <w:sz w:val="24"/>
          <w:szCs w:val="24"/>
        </w:rPr>
        <w:t>de minimis</w:t>
      </w:r>
      <w:r w:rsidRPr="00AE5CD3">
        <w:rPr>
          <w:rFonts w:asciiTheme="majorHAnsi" w:hAnsiTheme="majorHAnsi"/>
          <w:sz w:val="24"/>
          <w:szCs w:val="24"/>
        </w:rPr>
        <w:t xml:space="preserve">, предоставена съгласно Регламент (ЕС) № 1408/2013, може да се кумулира с помощ </w:t>
      </w:r>
      <w:r w:rsidR="00094E1B">
        <w:rPr>
          <w:rFonts w:asciiTheme="majorHAnsi" w:hAnsiTheme="majorHAnsi"/>
          <w:sz w:val="24"/>
          <w:szCs w:val="24"/>
        </w:rPr>
        <w:t>de minimis</w:t>
      </w:r>
      <w:r w:rsidRPr="00AE5CD3">
        <w:rPr>
          <w:rFonts w:asciiTheme="majorHAnsi" w:hAnsiTheme="majorHAnsi"/>
          <w:sz w:val="24"/>
          <w:szCs w:val="24"/>
        </w:rPr>
        <w:t xml:space="preserve">, предоставена в сектора на рибарството и аквакултурите до тавана, определен в регламента, при условие че се гарантира посредством подходящи средства, като например разделение/демаркация на дейностите или разграничаване на разходите, че първичното производство на селскостопански продукти не се ползва от помощ </w:t>
      </w:r>
      <w:r w:rsidR="00094E1B">
        <w:rPr>
          <w:rFonts w:asciiTheme="majorHAnsi" w:hAnsiTheme="majorHAnsi"/>
          <w:sz w:val="24"/>
          <w:szCs w:val="24"/>
        </w:rPr>
        <w:t>de minimis</w:t>
      </w:r>
      <w:r w:rsidRPr="00AE5CD3">
        <w:rPr>
          <w:rFonts w:asciiTheme="majorHAnsi" w:hAnsiTheme="majorHAnsi"/>
          <w:sz w:val="24"/>
          <w:szCs w:val="24"/>
        </w:rPr>
        <w:t>, предоставяна при условията на регламента;</w:t>
      </w:r>
    </w:p>
    <w:p w:rsidR="005A1B22" w:rsidRDefault="005A1B22" w:rsidP="008119B6">
      <w:pPr>
        <w:pStyle w:val="3"/>
        <w:numPr>
          <w:ilvl w:val="0"/>
          <w:numId w:val="15"/>
        </w:numPr>
        <w:pBdr>
          <w:top w:val="single" w:sz="4" w:space="1" w:color="auto"/>
          <w:left w:val="single" w:sz="4" w:space="4" w:color="auto"/>
          <w:bottom w:val="single" w:sz="4" w:space="1" w:color="auto"/>
          <w:right w:val="single" w:sz="4" w:space="4" w:color="auto"/>
        </w:pBdr>
        <w:spacing w:line="240" w:lineRule="auto"/>
        <w:ind w:left="284" w:hanging="284"/>
        <w:jc w:val="both"/>
        <w:rPr>
          <w:rFonts w:asciiTheme="majorHAnsi" w:hAnsiTheme="majorHAnsi"/>
          <w:sz w:val="24"/>
          <w:szCs w:val="24"/>
        </w:rPr>
      </w:pPr>
      <w:r w:rsidRPr="00AE5CD3">
        <w:rPr>
          <w:rFonts w:asciiTheme="majorHAnsi" w:hAnsiTheme="majorHAnsi"/>
          <w:sz w:val="24"/>
          <w:szCs w:val="24"/>
        </w:rPr>
        <w:t xml:space="preserve">Помощта </w:t>
      </w:r>
      <w:r w:rsidR="00094E1B">
        <w:rPr>
          <w:rFonts w:asciiTheme="majorHAnsi" w:hAnsiTheme="majorHAnsi"/>
          <w:sz w:val="24"/>
          <w:szCs w:val="24"/>
        </w:rPr>
        <w:t>de minimis</w:t>
      </w:r>
      <w:r w:rsidRPr="00AE5CD3">
        <w:rPr>
          <w:rFonts w:asciiTheme="majorHAnsi" w:hAnsiTheme="majorHAnsi"/>
          <w:sz w:val="24"/>
          <w:szCs w:val="24"/>
        </w:rPr>
        <w:t xml:space="preserve"> не се кумулира с държавна помощ във връзка със същите допустими разходи или с държавна помощ за същата мярка за рисково финансиране, ако чрез това кумулиране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w:t>
      </w:r>
      <w:r w:rsidR="00094E1B">
        <w:rPr>
          <w:rFonts w:asciiTheme="majorHAnsi" w:hAnsiTheme="majorHAnsi"/>
          <w:sz w:val="24"/>
          <w:szCs w:val="24"/>
        </w:rPr>
        <w:t>de minimis</w:t>
      </w:r>
      <w:r w:rsidRPr="00AE5CD3">
        <w:rPr>
          <w:rFonts w:asciiTheme="majorHAnsi" w:hAnsiTheme="majorHAnsi"/>
          <w:sz w:val="24"/>
          <w:szCs w:val="24"/>
        </w:rPr>
        <w:t>, която не е предоставена за конкретни допустими разходи или не може да бъде свързана с такива, може да се кумулира с друга държавна помощ, предоставена с регламент за групово освобождаване или решение, приети от Комисията.</w:t>
      </w:r>
    </w:p>
    <w:p w:rsidR="00F80F3F" w:rsidRDefault="003768EC" w:rsidP="003768EC">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Pr>
          <w:rFonts w:asciiTheme="majorHAnsi" w:hAnsiTheme="majorHAnsi"/>
          <w:lang w:val="bg-BG"/>
        </w:rPr>
        <w:t xml:space="preserve">  Ако дадено предприятие изпълнява сухопътни товарни превози за чужда сметка  или срещу възнаграждение, както и ако извършва други дейности, за които се прилага таванът от 200 000 евро, таванът от 200 000 евро се прилага за предприятието, при условие, че съответната  държава-членка гарантира посредством посредством   подходящи средства, като например определяне на дейностите  или разграничаване на разходите, че помощта за дейността по сухопътни товарни превози не надвишават 100 000 евро и че помощите </w:t>
      </w:r>
      <w:r>
        <w:rPr>
          <w:rFonts w:asciiTheme="majorHAnsi" w:hAnsiTheme="majorHAnsi"/>
        </w:rPr>
        <w:t>de</w:t>
      </w:r>
      <w:r w:rsidRPr="003768EC">
        <w:rPr>
          <w:rFonts w:asciiTheme="majorHAnsi" w:hAnsiTheme="majorHAnsi"/>
          <w:lang w:val="ru-RU"/>
        </w:rPr>
        <w:t xml:space="preserve"> </w:t>
      </w:r>
      <w:r>
        <w:rPr>
          <w:rFonts w:asciiTheme="majorHAnsi" w:hAnsiTheme="majorHAnsi"/>
        </w:rPr>
        <w:t>minimis</w:t>
      </w:r>
      <w:r w:rsidRPr="003768EC">
        <w:rPr>
          <w:rFonts w:asciiTheme="majorHAnsi" w:hAnsiTheme="majorHAnsi"/>
          <w:lang w:val="ru-RU"/>
        </w:rPr>
        <w:t xml:space="preserve"> </w:t>
      </w:r>
      <w:r>
        <w:rPr>
          <w:rFonts w:asciiTheme="majorHAnsi" w:hAnsiTheme="majorHAnsi"/>
          <w:lang w:val="bg-BG"/>
        </w:rPr>
        <w:t xml:space="preserve"> не се </w:t>
      </w:r>
      <w:r w:rsidR="001B5E1E">
        <w:rPr>
          <w:rFonts w:asciiTheme="majorHAnsi" w:hAnsiTheme="majorHAnsi"/>
          <w:lang w:val="bg-BG"/>
        </w:rPr>
        <w:t>използват</w:t>
      </w:r>
      <w:r>
        <w:rPr>
          <w:rFonts w:asciiTheme="majorHAnsi" w:hAnsiTheme="majorHAnsi"/>
          <w:lang w:val="bg-BG"/>
        </w:rPr>
        <w:t xml:space="preserve"> за придобиване на товарни автомобили.</w:t>
      </w:r>
    </w:p>
    <w:p w:rsidR="00F80F3F" w:rsidRDefault="00F80F3F">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Pr>
          <w:rFonts w:asciiTheme="majorHAnsi" w:hAnsiTheme="majorHAnsi"/>
          <w:lang w:val="bg-BG"/>
        </w:rPr>
        <w:t xml:space="preserve">   Помощта </w:t>
      </w:r>
      <w:r>
        <w:rPr>
          <w:rFonts w:asciiTheme="majorHAnsi" w:hAnsiTheme="majorHAnsi"/>
        </w:rPr>
        <w:t>de</w:t>
      </w:r>
      <w:r w:rsidRPr="00F80F3F">
        <w:rPr>
          <w:rFonts w:asciiTheme="majorHAnsi" w:hAnsiTheme="majorHAnsi"/>
          <w:lang w:val="ru-RU"/>
        </w:rPr>
        <w:t xml:space="preserve"> </w:t>
      </w:r>
      <w:r>
        <w:rPr>
          <w:rFonts w:asciiTheme="majorHAnsi" w:hAnsiTheme="majorHAnsi"/>
        </w:rPr>
        <w:t>minimis</w:t>
      </w:r>
      <w:r>
        <w:rPr>
          <w:rFonts w:asciiTheme="majorHAnsi" w:hAnsiTheme="majorHAnsi"/>
          <w:lang w:val="bg-BG"/>
        </w:rPr>
        <w:t xml:space="preserve">, предоставена съгласно Регламент  (ЕС) №1407/2013 на Комисията, може да се кумулира с помощ  </w:t>
      </w:r>
      <w:r>
        <w:rPr>
          <w:rFonts w:asciiTheme="majorHAnsi" w:hAnsiTheme="majorHAnsi"/>
        </w:rPr>
        <w:t>de</w:t>
      </w:r>
      <w:r w:rsidRPr="00F80F3F">
        <w:rPr>
          <w:rFonts w:asciiTheme="majorHAnsi" w:hAnsiTheme="majorHAnsi"/>
          <w:lang w:val="ru-RU"/>
        </w:rPr>
        <w:t xml:space="preserve"> </w:t>
      </w:r>
      <w:r>
        <w:rPr>
          <w:rFonts w:asciiTheme="majorHAnsi" w:hAnsiTheme="majorHAnsi"/>
        </w:rPr>
        <w:t>minimis</w:t>
      </w:r>
      <w:r>
        <w:rPr>
          <w:rFonts w:asciiTheme="majorHAnsi" w:hAnsiTheme="majorHAnsi"/>
          <w:lang w:val="bg-BG"/>
        </w:rPr>
        <w:t xml:space="preserve">, предоставена съгласно Регламент  (ЕС) №360/2012 на Комисията до тавана, установен в посочения регламент. </w:t>
      </w:r>
    </w:p>
    <w:p w:rsidR="00025E18" w:rsidRDefault="005A1B22">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В изпълнение на разпоредбите на чл. 6, ал. 4-5 на Регламент (ЕС) № 1407/2013 се документира и събира цялата информация относно прилагането на Регламента. </w:t>
      </w:r>
      <w:r w:rsidRPr="00AE5CD3">
        <w:rPr>
          <w:rFonts w:asciiTheme="majorHAnsi" w:hAnsiTheme="majorHAnsi"/>
          <w:lang w:val="bg-BG"/>
        </w:rPr>
        <w:lastRenderedPageBreak/>
        <w:t xml:space="preserve">Съставените документи съдържат цялата информация, която е необходима, за да се докаже, че са спазени условията по регламента. Документацията относно индивидуалните помощи </w:t>
      </w:r>
      <w:r w:rsidR="00094E1B">
        <w:rPr>
          <w:rFonts w:asciiTheme="majorHAnsi" w:hAnsiTheme="majorHAnsi"/>
          <w:lang w:val="bg-BG"/>
        </w:rPr>
        <w:t>de minimis</w:t>
      </w:r>
      <w:r w:rsidRPr="00AE5CD3">
        <w:rPr>
          <w:rFonts w:asciiTheme="majorHAnsi" w:hAnsiTheme="majorHAnsi"/>
          <w:lang w:val="bg-BG"/>
        </w:rPr>
        <w:t xml:space="preserve"> се съхранява за период от 10 </w:t>
      </w:r>
      <w:r w:rsidR="00AD2AE7">
        <w:rPr>
          <w:rFonts w:asciiTheme="majorHAnsi" w:hAnsiTheme="majorHAnsi"/>
          <w:lang w:val="bg-BG"/>
        </w:rPr>
        <w:t>бюджетни</w:t>
      </w:r>
      <w:r w:rsidRPr="00AE5CD3">
        <w:rPr>
          <w:rFonts w:asciiTheme="majorHAnsi" w:hAnsiTheme="majorHAnsi"/>
          <w:lang w:val="bg-BG"/>
        </w:rPr>
        <w:t xml:space="preserve"> години, считано от датата на тяхното предоставяне. Документацията относно схемите за помощ </w:t>
      </w:r>
      <w:r w:rsidR="00094E1B">
        <w:rPr>
          <w:rFonts w:asciiTheme="majorHAnsi" w:hAnsiTheme="majorHAnsi"/>
          <w:lang w:val="bg-BG"/>
        </w:rPr>
        <w:t>de minimis</w:t>
      </w:r>
      <w:r w:rsidRPr="00AE5CD3">
        <w:rPr>
          <w:rFonts w:asciiTheme="majorHAnsi" w:hAnsiTheme="majorHAnsi"/>
          <w:lang w:val="bg-BG"/>
        </w:rPr>
        <w:t xml:space="preserve"> се съхранява за период от 10 </w:t>
      </w:r>
      <w:r w:rsidR="00AD2AE7">
        <w:rPr>
          <w:rFonts w:asciiTheme="majorHAnsi" w:hAnsiTheme="majorHAnsi"/>
          <w:lang w:val="bg-BG"/>
        </w:rPr>
        <w:t>бюджетни</w:t>
      </w:r>
      <w:r w:rsidRPr="00AE5CD3">
        <w:rPr>
          <w:rFonts w:asciiTheme="majorHAnsi" w:hAnsiTheme="majorHAnsi"/>
          <w:lang w:val="bg-BG"/>
        </w:rPr>
        <w:t xml:space="preserve"> години от датата, на която е предоставена последната индивидуална помощ по такава схема. По писмено искане съответната държава членка предоставя на Комисията в срок до 20 работни дни или в по-дълъг срок, ако такъв бъде определен в искането, цялата информация, която Комисията счита за необходима, за да прецени дали са спазени условията по Регламента, и по-специално относно общия размер на помощта </w:t>
      </w:r>
      <w:r w:rsidR="00094E1B">
        <w:rPr>
          <w:rFonts w:asciiTheme="majorHAnsi" w:hAnsiTheme="majorHAnsi"/>
          <w:lang w:val="bg-BG"/>
        </w:rPr>
        <w:t>de minimis</w:t>
      </w:r>
      <w:r w:rsidRPr="00AE5CD3">
        <w:rPr>
          <w:rFonts w:asciiTheme="majorHAnsi" w:hAnsiTheme="majorHAnsi"/>
          <w:lang w:val="bg-BG"/>
        </w:rPr>
        <w:t xml:space="preserve"> по смисъла на Регламента и на други регламенти за помощ </w:t>
      </w:r>
      <w:r w:rsidR="00094E1B">
        <w:rPr>
          <w:rFonts w:asciiTheme="majorHAnsi" w:hAnsiTheme="majorHAnsi"/>
          <w:lang w:val="bg-BG"/>
        </w:rPr>
        <w:t>de minimis</w:t>
      </w:r>
      <w:r w:rsidRPr="00AE5CD3">
        <w:rPr>
          <w:rFonts w:asciiTheme="majorHAnsi" w:hAnsiTheme="majorHAnsi"/>
          <w:lang w:val="bg-BG"/>
        </w:rPr>
        <w:t>, получена от всяко предприятие.</w:t>
      </w:r>
    </w:p>
    <w:p w:rsidR="005A1B22" w:rsidRPr="00AE5CD3" w:rsidRDefault="005A1B22" w:rsidP="000B7942">
      <w:pPr>
        <w:pStyle w:val="afd"/>
        <w:pBdr>
          <w:top w:val="single" w:sz="4" w:space="1" w:color="auto"/>
          <w:left w:val="single" w:sz="4" w:space="4" w:color="auto"/>
          <w:bottom w:val="single" w:sz="4" w:space="1" w:color="auto"/>
          <w:right w:val="single" w:sz="4" w:space="4" w:color="auto"/>
        </w:pBdr>
        <w:ind w:firstLine="567"/>
        <w:jc w:val="both"/>
        <w:rPr>
          <w:rFonts w:asciiTheme="majorHAnsi" w:hAnsiTheme="majorHAnsi"/>
          <w:lang w:val="bg-BG"/>
        </w:rPr>
      </w:pPr>
      <w:r w:rsidRPr="00AE5CD3">
        <w:rPr>
          <w:rFonts w:asciiTheme="majorHAnsi" w:hAnsiTheme="majorHAnsi"/>
          <w:lang w:val="bg-BG"/>
        </w:rPr>
        <w:t xml:space="preserve">При отпускане на минимална помощ в нарушение на разпоредбите на регламент (ЕС) № 1407/2013, неправомерно предоставената помощ подлежи на възстановяване. </w:t>
      </w:r>
    </w:p>
    <w:p w:rsidR="005A1B22" w:rsidRPr="00AE5CD3" w:rsidRDefault="005A1B22" w:rsidP="000B7942">
      <w:pPr>
        <w:pStyle w:val="afd"/>
        <w:pBdr>
          <w:top w:val="single" w:sz="4" w:space="1" w:color="auto"/>
          <w:left w:val="single" w:sz="4" w:space="4" w:color="auto"/>
          <w:bottom w:val="single" w:sz="4" w:space="1" w:color="auto"/>
          <w:right w:val="single" w:sz="4" w:space="4" w:color="auto"/>
        </w:pBdr>
        <w:ind w:firstLine="567"/>
        <w:jc w:val="both"/>
        <w:rPr>
          <w:rFonts w:asciiTheme="majorHAnsi" w:hAnsiTheme="majorHAnsi"/>
          <w:lang w:val="bg-BG"/>
        </w:rPr>
      </w:pPr>
      <w:r w:rsidRPr="00AE5CD3">
        <w:rPr>
          <w:rFonts w:asciiTheme="majorHAnsi" w:hAnsiTheme="majorHAnsi"/>
          <w:lang w:val="bg-BG"/>
        </w:rPr>
        <w:t>Възстановяването на неправомерно предоставена помощ се извършва по реда на чл. 37 на Закона на държавните помощи.</w:t>
      </w:r>
    </w:p>
    <w:p w:rsidR="005A1B22" w:rsidRPr="00AE5CD3" w:rsidRDefault="005A1B22" w:rsidP="000B7942">
      <w:pPr>
        <w:pStyle w:val="afd"/>
        <w:pBdr>
          <w:top w:val="single" w:sz="4" w:space="1" w:color="auto"/>
          <w:left w:val="single" w:sz="4" w:space="4" w:color="auto"/>
          <w:bottom w:val="single" w:sz="4" w:space="1" w:color="auto"/>
          <w:right w:val="single" w:sz="4" w:space="4" w:color="auto"/>
        </w:pBdr>
        <w:ind w:firstLine="567"/>
        <w:jc w:val="both"/>
        <w:rPr>
          <w:rFonts w:asciiTheme="majorHAnsi" w:hAnsiTheme="majorHAnsi"/>
          <w:lang w:val="bg-BG"/>
        </w:rPr>
      </w:pPr>
      <w:r w:rsidRPr="00AE5CD3">
        <w:rPr>
          <w:rFonts w:asciiTheme="majorHAnsi" w:hAnsiTheme="majorHAnsi"/>
          <w:lang w:val="bg-BG"/>
        </w:rPr>
        <w:t xml:space="preserve">След публикуване от МИГ на Условията за кандидатстване </w:t>
      </w:r>
      <w:r w:rsidRPr="00AE5CD3">
        <w:rPr>
          <w:rFonts w:asciiTheme="majorHAnsi" w:hAnsiTheme="majorHAnsi"/>
          <w:u w:val="single"/>
          <w:lang w:val="bg-BG"/>
        </w:rPr>
        <w:t>не са допустими</w:t>
      </w:r>
      <w:r w:rsidRPr="00AE5CD3">
        <w:rPr>
          <w:rFonts w:asciiTheme="majorHAnsi" w:hAnsiTheme="majorHAnsi"/>
          <w:lang w:val="bg-BG"/>
        </w:rPr>
        <w:t xml:space="preserve"> изменения, които могат да повлияят на съответствието на процедурата с изискванията на Регламент на Комисията (ЕС) № 1407/2013.</w:t>
      </w:r>
    </w:p>
    <w:p w:rsidR="005A1B22" w:rsidRPr="00AE5CD3" w:rsidRDefault="005A1B22" w:rsidP="000B7942">
      <w:pPr>
        <w:pStyle w:val="afd"/>
        <w:pBdr>
          <w:top w:val="single" w:sz="4" w:space="1" w:color="auto"/>
          <w:left w:val="single" w:sz="4" w:space="4" w:color="auto"/>
          <w:bottom w:val="single" w:sz="4" w:space="1" w:color="auto"/>
          <w:right w:val="single" w:sz="4" w:space="4" w:color="auto"/>
        </w:pBdr>
        <w:ind w:firstLine="567"/>
        <w:jc w:val="both"/>
        <w:rPr>
          <w:rFonts w:asciiTheme="majorHAnsi" w:hAnsiTheme="majorHAnsi"/>
          <w:shd w:val="clear" w:color="auto" w:fill="FFFFFF"/>
          <w:lang w:val="bg-BG"/>
        </w:rPr>
      </w:pPr>
      <w:r w:rsidRPr="00AE5CD3">
        <w:rPr>
          <w:rFonts w:asciiTheme="majorHAnsi" w:eastAsia="Times New Roman" w:hAnsiTheme="majorHAnsi"/>
          <w:lang w:val="bg-BG"/>
        </w:rPr>
        <w:t xml:space="preserve">Администратор на минимална помощ е УО на ОПИК. </w:t>
      </w:r>
      <w:r w:rsidR="003F689F" w:rsidRPr="00AE5CD3">
        <w:rPr>
          <w:rFonts w:asciiTheme="majorHAnsi" w:hAnsiTheme="majorHAnsi"/>
          <w:shd w:val="clear" w:color="auto" w:fill="FFFFFF"/>
          <w:lang w:val="bg-BG"/>
        </w:rPr>
        <w:t>МИГ Кирково-Златоград</w:t>
      </w:r>
      <w:r w:rsidRPr="00AE5CD3">
        <w:rPr>
          <w:rFonts w:asciiTheme="majorHAnsi" w:hAnsiTheme="majorHAnsi"/>
          <w:shd w:val="clear" w:color="auto" w:fill="FFFFFF"/>
          <w:lang w:val="bg-BG"/>
        </w:rPr>
        <w:t xml:space="preserve"> носи отговорност като администратор на помощ за възложените функции от страна на УО на ОПИК, описани в т. 6 от Споразумение № РД 50-</w:t>
      </w:r>
      <w:r w:rsidR="003F689F" w:rsidRPr="00AE5CD3">
        <w:rPr>
          <w:rFonts w:asciiTheme="majorHAnsi" w:hAnsiTheme="majorHAnsi"/>
          <w:shd w:val="clear" w:color="auto" w:fill="FFFFFF"/>
          <w:lang w:val="bg-BG"/>
        </w:rPr>
        <w:t>41</w:t>
      </w:r>
      <w:r w:rsidRPr="00AE5CD3">
        <w:rPr>
          <w:rFonts w:asciiTheme="majorHAnsi" w:hAnsiTheme="majorHAnsi"/>
          <w:shd w:val="clear" w:color="auto" w:fill="FFFFFF"/>
          <w:lang w:val="bg-BG"/>
        </w:rPr>
        <w:t>/2</w:t>
      </w:r>
      <w:r w:rsidR="003F689F" w:rsidRPr="00AE5CD3">
        <w:rPr>
          <w:rFonts w:asciiTheme="majorHAnsi" w:hAnsiTheme="majorHAnsi"/>
          <w:shd w:val="clear" w:color="auto" w:fill="FFFFFF"/>
          <w:lang w:val="bg-BG"/>
        </w:rPr>
        <w:t>7</w:t>
      </w:r>
      <w:r w:rsidRPr="00AE5CD3">
        <w:rPr>
          <w:rFonts w:asciiTheme="majorHAnsi" w:hAnsiTheme="majorHAnsi"/>
          <w:shd w:val="clear" w:color="auto" w:fill="FFFFFF"/>
          <w:lang w:val="bg-BG"/>
        </w:rPr>
        <w:t>.0</w:t>
      </w:r>
      <w:r w:rsidR="003F689F" w:rsidRPr="00AE5CD3">
        <w:rPr>
          <w:rFonts w:asciiTheme="majorHAnsi" w:hAnsiTheme="majorHAnsi"/>
          <w:shd w:val="clear" w:color="auto" w:fill="FFFFFF"/>
          <w:lang w:val="bg-BG"/>
        </w:rPr>
        <w:t>4</w:t>
      </w:r>
      <w:r w:rsidRPr="00AE5CD3">
        <w:rPr>
          <w:rFonts w:asciiTheme="majorHAnsi" w:hAnsiTheme="majorHAnsi"/>
          <w:shd w:val="clear" w:color="auto" w:fill="FFFFFF"/>
          <w:lang w:val="bg-BG"/>
        </w:rPr>
        <w:t>.201</w:t>
      </w:r>
      <w:r w:rsidR="003F689F" w:rsidRPr="00AE5CD3">
        <w:rPr>
          <w:rFonts w:asciiTheme="majorHAnsi" w:hAnsiTheme="majorHAnsi"/>
          <w:shd w:val="clear" w:color="auto" w:fill="FFFFFF"/>
          <w:lang w:val="bg-BG"/>
        </w:rPr>
        <w:t>8</w:t>
      </w:r>
      <w:r w:rsidRPr="00AE5CD3">
        <w:rPr>
          <w:rFonts w:asciiTheme="majorHAnsi" w:hAnsiTheme="majorHAnsi"/>
          <w:shd w:val="clear" w:color="auto" w:fill="FFFFFF"/>
          <w:lang w:val="bg-BG"/>
        </w:rPr>
        <w:t>г. и изпълнява свързаните с тях задължения спрямо получателя на помощта.</w:t>
      </w:r>
    </w:p>
    <w:p w:rsidR="005A1B22" w:rsidRPr="00AE5CD3" w:rsidRDefault="005A1B22" w:rsidP="000B7942">
      <w:pPr>
        <w:pStyle w:val="afd"/>
        <w:pBdr>
          <w:top w:val="single" w:sz="4" w:space="1" w:color="auto"/>
          <w:left w:val="single" w:sz="4" w:space="4" w:color="auto"/>
          <w:bottom w:val="single" w:sz="4" w:space="1" w:color="auto"/>
          <w:right w:val="single" w:sz="4" w:space="4" w:color="auto"/>
        </w:pBdr>
        <w:ind w:firstLine="567"/>
        <w:jc w:val="both"/>
        <w:rPr>
          <w:rFonts w:asciiTheme="majorHAnsi" w:hAnsiTheme="majorHAnsi"/>
          <w:b/>
          <w:lang w:val="bg-BG" w:eastAsia="bg-BG"/>
        </w:rPr>
      </w:pPr>
      <w:r w:rsidRPr="00AE5CD3">
        <w:rPr>
          <w:rFonts w:asciiTheme="majorHAnsi" w:hAnsiTheme="majorHAnsi"/>
          <w:lang w:val="bg-BG"/>
        </w:rPr>
        <w:t xml:space="preserve">Допълнителна информация относно приложимото законодателство в областта на държавните помощи може да бъде открита на интернет страницата на Министерство на финансите </w:t>
      </w:r>
      <w:hyperlink r:id="rId17" w:history="1">
        <w:r w:rsidRPr="00AE5CD3">
          <w:rPr>
            <w:rFonts w:asciiTheme="majorHAnsi" w:hAnsiTheme="majorHAnsi"/>
            <w:color w:val="365F91"/>
            <w:u w:val="single"/>
            <w:lang w:val="bg-BG"/>
          </w:rPr>
          <w:t>http://stateaid.minfin.bg/</w:t>
        </w:r>
      </w:hyperlink>
    </w:p>
    <w:bookmarkEnd w:id="100"/>
    <w:p w:rsidR="005A1B22" w:rsidRPr="00AE5CD3" w:rsidRDefault="005A1B22" w:rsidP="000B7942">
      <w:pPr>
        <w:pStyle w:val="20"/>
        <w:spacing w:before="0" w:line="240" w:lineRule="auto"/>
        <w:ind w:firstLine="567"/>
        <w:rPr>
          <w:rFonts w:asciiTheme="majorHAnsi" w:hAnsiTheme="majorHAnsi"/>
        </w:rPr>
      </w:pPr>
    </w:p>
    <w:p w:rsidR="005A1B22" w:rsidRPr="00AE5CD3" w:rsidRDefault="005A1B22" w:rsidP="000B7942">
      <w:pPr>
        <w:pStyle w:val="20"/>
        <w:spacing w:before="0" w:line="240" w:lineRule="auto"/>
        <w:ind w:firstLine="567"/>
        <w:rPr>
          <w:rFonts w:asciiTheme="majorHAnsi" w:hAnsiTheme="majorHAnsi"/>
        </w:rPr>
      </w:pPr>
      <w:bookmarkStart w:id="102" w:name="_Toc514333714"/>
      <w:bookmarkStart w:id="103" w:name="_Toc514334554"/>
      <w:bookmarkStart w:id="104" w:name="_Toc514334646"/>
      <w:r w:rsidRPr="00AE5CD3">
        <w:rPr>
          <w:rFonts w:asciiTheme="majorHAnsi" w:hAnsiTheme="majorHAnsi"/>
        </w:rPr>
        <w:t>17. Хоризонтални политики</w:t>
      </w:r>
      <w:bookmarkEnd w:id="102"/>
      <w:bookmarkEnd w:id="103"/>
      <w:bookmarkEnd w:id="104"/>
    </w:p>
    <w:p w:rsidR="00025E18" w:rsidRDefault="005A1B22">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По настоящата процедура следва да е налице съответствие на проектните предложения с водещите общи принципи на хоризонталните политики на ЕС:</w:t>
      </w:r>
    </w:p>
    <w:p w:rsidR="005A1B22" w:rsidRPr="00AE5CD3" w:rsidRDefault="005A1B22" w:rsidP="000B7942">
      <w:pPr>
        <w:pStyle w:val="aa"/>
        <w:pBdr>
          <w:top w:val="single" w:sz="4" w:space="1" w:color="auto"/>
          <w:left w:val="single" w:sz="4" w:space="4" w:color="auto"/>
          <w:bottom w:val="single" w:sz="4" w:space="1" w:color="auto"/>
          <w:right w:val="single" w:sz="4" w:space="4" w:color="auto"/>
        </w:pBdr>
        <w:spacing w:after="0" w:line="240" w:lineRule="auto"/>
        <w:ind w:left="0" w:firstLine="567"/>
        <w:jc w:val="both"/>
        <w:rPr>
          <w:rFonts w:asciiTheme="majorHAnsi" w:hAnsiTheme="majorHAnsi"/>
          <w:sz w:val="24"/>
          <w:szCs w:val="24"/>
        </w:rPr>
      </w:pPr>
      <w:r w:rsidRPr="00AE5CD3">
        <w:rPr>
          <w:rFonts w:asciiTheme="majorHAnsi" w:hAnsiTheme="majorHAnsi"/>
          <w:sz w:val="24"/>
          <w:szCs w:val="24"/>
        </w:rPr>
        <w:t>-</w:t>
      </w:r>
      <w:r w:rsidRPr="00AE5CD3">
        <w:rPr>
          <w:rFonts w:asciiTheme="majorHAnsi" w:hAnsiTheme="majorHAnsi"/>
          <w:b/>
          <w:i/>
          <w:sz w:val="24"/>
          <w:szCs w:val="24"/>
        </w:rPr>
        <w:t>равнопоставеност и недопускане на дискриминация</w:t>
      </w:r>
      <w:r w:rsidRPr="00AE5CD3">
        <w:rPr>
          <w:rFonts w:asciiTheme="majorHAnsi" w:hAnsiTheme="majorHAnsi"/>
          <w:sz w:val="24"/>
          <w:szCs w:val="24"/>
        </w:rPr>
        <w:t xml:space="preserve"> – насърчаване на равните възможности за всички, включително възможностите за достъп на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т. 11 от Условията за кандидатстване, независимо от техния пол, етническа принадлежност или вид увреждане;</w:t>
      </w:r>
    </w:p>
    <w:p w:rsidR="005A1B22" w:rsidRPr="00AE5CD3" w:rsidRDefault="005A1B22" w:rsidP="000B7942">
      <w:pPr>
        <w:pStyle w:val="aa"/>
        <w:pBdr>
          <w:top w:val="single" w:sz="4" w:space="1" w:color="auto"/>
          <w:left w:val="single" w:sz="4" w:space="4" w:color="auto"/>
          <w:bottom w:val="single" w:sz="4" w:space="1" w:color="auto"/>
          <w:right w:val="single" w:sz="4" w:space="4" w:color="auto"/>
        </w:pBdr>
        <w:spacing w:after="0" w:line="240" w:lineRule="auto"/>
        <w:ind w:left="0" w:firstLine="567"/>
        <w:jc w:val="both"/>
        <w:rPr>
          <w:rFonts w:asciiTheme="majorHAnsi" w:hAnsiTheme="majorHAnsi"/>
          <w:sz w:val="24"/>
          <w:szCs w:val="24"/>
        </w:rPr>
      </w:pPr>
      <w:r w:rsidRPr="00AE5CD3">
        <w:rPr>
          <w:rFonts w:asciiTheme="majorHAnsi" w:hAnsiTheme="majorHAnsi"/>
          <w:sz w:val="24"/>
          <w:szCs w:val="24"/>
        </w:rPr>
        <w:t>-</w:t>
      </w:r>
      <w:r w:rsidRPr="00AE5CD3">
        <w:rPr>
          <w:rFonts w:asciiTheme="majorHAnsi" w:hAnsiTheme="majorHAnsi"/>
          <w:b/>
          <w:i/>
          <w:sz w:val="24"/>
          <w:szCs w:val="24"/>
        </w:rPr>
        <w:t>устойчиво развитие</w:t>
      </w:r>
      <w:r w:rsidRPr="00AE5CD3">
        <w:rPr>
          <w:rFonts w:asciiTheme="majorHAnsi" w:hAnsiTheme="majorHAnsi"/>
          <w:sz w:val="24"/>
          <w:szCs w:val="24"/>
        </w:rPr>
        <w:t xml:space="preserve">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b/>
          <w:sz w:val="24"/>
          <w:szCs w:val="24"/>
        </w:rPr>
      </w:pPr>
      <w:r w:rsidRPr="00AE5CD3">
        <w:rPr>
          <w:rFonts w:asciiTheme="majorHAnsi" w:hAnsiTheme="majorHAnsi"/>
          <w:b/>
          <w:sz w:val="24"/>
          <w:szCs w:val="24"/>
        </w:rPr>
        <w:t xml:space="preserve">В </w:t>
      </w:r>
      <w:r w:rsidR="00675D84">
        <w:rPr>
          <w:rFonts w:asciiTheme="majorHAnsi" w:hAnsiTheme="majorHAnsi"/>
          <w:b/>
          <w:sz w:val="24"/>
          <w:szCs w:val="24"/>
        </w:rPr>
        <w:t>секция</w:t>
      </w:r>
      <w:r w:rsidRPr="00AE5CD3">
        <w:rPr>
          <w:rFonts w:asciiTheme="majorHAnsi" w:hAnsiTheme="majorHAnsi"/>
          <w:b/>
          <w:sz w:val="24"/>
          <w:szCs w:val="24"/>
        </w:rPr>
        <w:t xml:space="preserve"> 11 от Формуляра за кандидатстване кандидатите следва да представят информация за съответствието на проектното предложение с посочените принципи.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 xml:space="preserve">Прилагането на заложените в проекта принципи </w:t>
      </w:r>
      <w:r w:rsidR="002F3F0E" w:rsidRPr="002F3F0E">
        <w:rPr>
          <w:rFonts w:asciiTheme="majorHAnsi" w:hAnsiTheme="majorHAnsi"/>
          <w:sz w:val="24"/>
          <w:szCs w:val="24"/>
        </w:rPr>
        <w:t>ще бъде проследявано както на етап оценка на проектните предложения, така и на етап изпълнение на проектите.</w:t>
      </w:r>
    </w:p>
    <w:p w:rsidR="005A1B22" w:rsidRPr="00AE5CD3" w:rsidRDefault="005A1B22" w:rsidP="008119B6">
      <w:pPr>
        <w:pStyle w:val="20"/>
        <w:spacing w:before="0" w:line="240" w:lineRule="auto"/>
        <w:rPr>
          <w:rFonts w:asciiTheme="majorHAnsi" w:hAnsiTheme="majorHAnsi"/>
        </w:rPr>
      </w:pPr>
      <w:bookmarkStart w:id="105" w:name="_Toc476823158"/>
    </w:p>
    <w:p w:rsidR="005A1B22" w:rsidRPr="00AE5CD3" w:rsidRDefault="005A1B22" w:rsidP="008119B6">
      <w:pPr>
        <w:pStyle w:val="20"/>
        <w:spacing w:before="0" w:line="240" w:lineRule="auto"/>
        <w:rPr>
          <w:rFonts w:asciiTheme="majorHAnsi" w:hAnsiTheme="majorHAnsi"/>
        </w:rPr>
      </w:pPr>
      <w:bookmarkStart w:id="106" w:name="_Toc514333715"/>
      <w:bookmarkStart w:id="107" w:name="_Toc514334555"/>
      <w:bookmarkStart w:id="108" w:name="_Toc514334647"/>
      <w:r w:rsidRPr="00AE5CD3">
        <w:rPr>
          <w:rFonts w:asciiTheme="majorHAnsi" w:hAnsiTheme="majorHAnsi"/>
        </w:rPr>
        <w:t>18. Минимален и максимален срок за изпълнение на проекта</w:t>
      </w:r>
      <w:bookmarkEnd w:id="105"/>
      <w:bookmarkEnd w:id="106"/>
      <w:bookmarkEnd w:id="107"/>
      <w:bookmarkEnd w:id="108"/>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 xml:space="preserve">Продължителността на изпълнение на всеки проект не следва да надвишава </w:t>
      </w:r>
      <w:r w:rsidRPr="00AE5CD3">
        <w:rPr>
          <w:rFonts w:asciiTheme="majorHAnsi" w:hAnsiTheme="majorHAnsi"/>
          <w:b/>
          <w:color w:val="000000"/>
          <w:sz w:val="24"/>
          <w:szCs w:val="24"/>
        </w:rPr>
        <w:t>18 /осемнадесет/ месеца</w:t>
      </w:r>
      <w:r w:rsidRPr="00AE5CD3">
        <w:rPr>
          <w:rFonts w:asciiTheme="majorHAnsi" w:hAnsiTheme="majorHAnsi"/>
          <w:color w:val="000000"/>
          <w:sz w:val="24"/>
          <w:szCs w:val="24"/>
        </w:rPr>
        <w:t xml:space="preserve">, </w:t>
      </w:r>
      <w:r w:rsidRPr="00AE5CD3">
        <w:rPr>
          <w:rFonts w:asciiTheme="majorHAnsi" w:hAnsiTheme="majorHAnsi"/>
          <w:sz w:val="24"/>
          <w:szCs w:val="24"/>
        </w:rPr>
        <w:t>считано от датата на влизане в сила на договор</w:t>
      </w:r>
      <w:r w:rsidR="009D7BFC" w:rsidRPr="00AE5CD3">
        <w:rPr>
          <w:rFonts w:asciiTheme="majorHAnsi" w:hAnsiTheme="majorHAnsi"/>
          <w:sz w:val="24"/>
          <w:szCs w:val="24"/>
        </w:rPr>
        <w:t>а</w:t>
      </w:r>
      <w:r w:rsidRPr="00AE5CD3">
        <w:rPr>
          <w:rFonts w:asciiTheme="majorHAnsi" w:hAnsiTheme="majorHAnsi"/>
          <w:sz w:val="24"/>
          <w:szCs w:val="24"/>
        </w:rPr>
        <w:t xml:space="preserve"> за предоставяне на безвъзмездна финансова помощ.</w:t>
      </w:r>
    </w:p>
    <w:p w:rsidR="005A1B22" w:rsidRPr="00AE5CD3" w:rsidRDefault="005A1B22" w:rsidP="008119B6">
      <w:pPr>
        <w:pStyle w:val="20"/>
        <w:spacing w:before="0" w:line="240" w:lineRule="auto"/>
        <w:rPr>
          <w:rFonts w:asciiTheme="majorHAnsi" w:hAnsiTheme="majorHAnsi"/>
        </w:rPr>
      </w:pPr>
      <w:bookmarkStart w:id="109" w:name="_Toc442269415"/>
      <w:bookmarkStart w:id="110" w:name="_Toc476823159"/>
    </w:p>
    <w:p w:rsidR="005A1B22" w:rsidRPr="00AE5CD3" w:rsidRDefault="005A1B22" w:rsidP="008119B6">
      <w:pPr>
        <w:pStyle w:val="20"/>
        <w:spacing w:before="0" w:line="240" w:lineRule="auto"/>
        <w:rPr>
          <w:rFonts w:asciiTheme="majorHAnsi" w:hAnsiTheme="majorHAnsi"/>
        </w:rPr>
      </w:pPr>
      <w:bookmarkStart w:id="111" w:name="_Toc514333716"/>
      <w:bookmarkStart w:id="112" w:name="_Toc514334556"/>
      <w:bookmarkStart w:id="113" w:name="_Toc514334648"/>
      <w:r w:rsidRPr="00AE5CD3">
        <w:rPr>
          <w:rFonts w:asciiTheme="majorHAnsi" w:hAnsiTheme="majorHAnsi"/>
        </w:rPr>
        <w:t>19. Ред за оценяване на концепциите за проектни предложения</w:t>
      </w:r>
      <w:bookmarkEnd w:id="109"/>
      <w:bookmarkEnd w:id="110"/>
      <w:bookmarkEnd w:id="111"/>
      <w:bookmarkEnd w:id="112"/>
      <w:bookmarkEnd w:id="113"/>
    </w:p>
    <w:p w:rsidR="005A1B22" w:rsidRPr="00AE5CD3" w:rsidRDefault="005A1B22" w:rsidP="008119B6">
      <w:pPr>
        <w:pStyle w:val="afd"/>
        <w:pBdr>
          <w:top w:val="single" w:sz="4" w:space="1" w:color="auto"/>
          <w:left w:val="single" w:sz="4" w:space="4" w:color="auto"/>
          <w:bottom w:val="single" w:sz="4" w:space="1" w:color="auto"/>
          <w:right w:val="single" w:sz="4" w:space="4" w:color="auto"/>
        </w:pBdr>
        <w:rPr>
          <w:rFonts w:asciiTheme="majorHAnsi" w:hAnsiTheme="majorHAnsi"/>
          <w:lang w:val="bg-BG"/>
        </w:rPr>
      </w:pPr>
      <w:r w:rsidRPr="00AE5CD3">
        <w:rPr>
          <w:rFonts w:asciiTheme="majorHAnsi" w:hAnsiTheme="majorHAnsi"/>
          <w:lang w:val="bg-BG"/>
        </w:rPr>
        <w:t>Неприложимо за настоящата процедура</w:t>
      </w:r>
      <w:r w:rsidRPr="00AE5CD3">
        <w:rPr>
          <w:rFonts w:asciiTheme="majorHAnsi" w:hAnsiTheme="majorHAnsi"/>
          <w:lang w:val="bg-BG"/>
        </w:rPr>
        <w:tab/>
      </w:r>
    </w:p>
    <w:p w:rsidR="005A1B22" w:rsidRPr="00AE5CD3" w:rsidRDefault="005A1B22" w:rsidP="008119B6">
      <w:pPr>
        <w:pStyle w:val="20"/>
        <w:spacing w:before="0" w:line="240" w:lineRule="auto"/>
        <w:rPr>
          <w:rFonts w:asciiTheme="majorHAnsi" w:hAnsiTheme="majorHAnsi"/>
        </w:rPr>
      </w:pPr>
      <w:bookmarkStart w:id="114" w:name="_Toc442269416"/>
      <w:bookmarkStart w:id="115" w:name="_Toc476823160"/>
    </w:p>
    <w:p w:rsidR="005A1B22" w:rsidRPr="00AE5CD3" w:rsidRDefault="005A1B22" w:rsidP="008119B6">
      <w:pPr>
        <w:pStyle w:val="20"/>
        <w:spacing w:before="0" w:line="240" w:lineRule="auto"/>
        <w:rPr>
          <w:rFonts w:asciiTheme="majorHAnsi" w:hAnsiTheme="majorHAnsi"/>
        </w:rPr>
      </w:pPr>
      <w:bookmarkStart w:id="116" w:name="_Toc514333717"/>
      <w:bookmarkStart w:id="117" w:name="_Toc514334557"/>
      <w:bookmarkStart w:id="118" w:name="_Toc514334649"/>
      <w:r w:rsidRPr="00AE5CD3">
        <w:rPr>
          <w:rFonts w:asciiTheme="majorHAnsi" w:hAnsiTheme="majorHAnsi"/>
        </w:rPr>
        <w:t>20. Критерии и методика за оценка на концепциите за проектни предложения</w:t>
      </w:r>
      <w:bookmarkEnd w:id="114"/>
      <w:bookmarkEnd w:id="115"/>
      <w:bookmarkEnd w:id="116"/>
      <w:bookmarkEnd w:id="117"/>
      <w:bookmarkEnd w:id="118"/>
    </w:p>
    <w:p w:rsidR="005A1B22" w:rsidRPr="00AE5CD3" w:rsidRDefault="005A1B22" w:rsidP="008119B6">
      <w:pPr>
        <w:pStyle w:val="afd"/>
        <w:pBdr>
          <w:top w:val="single" w:sz="4" w:space="1" w:color="auto"/>
          <w:left w:val="single" w:sz="4" w:space="4" w:color="auto"/>
          <w:bottom w:val="single" w:sz="4" w:space="1" w:color="auto"/>
          <w:right w:val="single" w:sz="4" w:space="4" w:color="auto"/>
        </w:pBdr>
        <w:rPr>
          <w:rFonts w:asciiTheme="majorHAnsi" w:hAnsiTheme="majorHAnsi"/>
          <w:lang w:val="bg-BG"/>
        </w:rPr>
      </w:pPr>
      <w:r w:rsidRPr="00AE5CD3">
        <w:rPr>
          <w:rFonts w:asciiTheme="majorHAnsi" w:hAnsiTheme="majorHAnsi"/>
          <w:lang w:val="bg-BG"/>
        </w:rPr>
        <w:t>Неприложимо за настоящата процедура</w:t>
      </w:r>
    </w:p>
    <w:p w:rsidR="005A1B22" w:rsidRPr="00AE5CD3" w:rsidRDefault="005A1B22" w:rsidP="008119B6">
      <w:pPr>
        <w:pStyle w:val="20"/>
        <w:spacing w:before="0" w:line="240" w:lineRule="auto"/>
        <w:rPr>
          <w:rFonts w:asciiTheme="majorHAnsi" w:hAnsiTheme="majorHAnsi"/>
        </w:rPr>
      </w:pPr>
      <w:bookmarkStart w:id="119" w:name="_Toc476823161"/>
    </w:p>
    <w:p w:rsidR="005A1B22" w:rsidRPr="00AE5CD3" w:rsidRDefault="005A1B22" w:rsidP="008119B6">
      <w:pPr>
        <w:pStyle w:val="20"/>
        <w:spacing w:before="0" w:line="240" w:lineRule="auto"/>
        <w:rPr>
          <w:rFonts w:asciiTheme="majorHAnsi" w:hAnsiTheme="majorHAnsi"/>
        </w:rPr>
      </w:pPr>
      <w:bookmarkStart w:id="120" w:name="_Toc514333718"/>
      <w:bookmarkStart w:id="121" w:name="_Toc514334558"/>
      <w:bookmarkStart w:id="122" w:name="_Toc514334650"/>
      <w:r w:rsidRPr="00AE5CD3">
        <w:rPr>
          <w:rFonts w:asciiTheme="majorHAnsi" w:hAnsiTheme="majorHAnsi"/>
        </w:rPr>
        <w:t>21. Ред за оценяване на проектните предложения</w:t>
      </w:r>
      <w:bookmarkEnd w:id="119"/>
      <w:bookmarkEnd w:id="120"/>
      <w:bookmarkEnd w:id="121"/>
      <w:bookmarkEnd w:id="122"/>
    </w:p>
    <w:p w:rsidR="002D2EEE" w:rsidRPr="00AE5CD3" w:rsidRDefault="002D2EEE" w:rsidP="008119B6">
      <w:pPr>
        <w:pStyle w:val="afd"/>
        <w:pBdr>
          <w:top w:val="single" w:sz="4" w:space="1" w:color="auto"/>
          <w:left w:val="single" w:sz="4" w:space="4" w:color="auto"/>
          <w:bottom w:val="single" w:sz="4" w:space="1" w:color="auto"/>
          <w:right w:val="single" w:sz="4" w:space="4" w:color="auto"/>
        </w:pBdr>
        <w:jc w:val="both"/>
        <w:rPr>
          <w:sz w:val="23"/>
          <w:szCs w:val="23"/>
          <w:lang w:val="bg-BG"/>
        </w:rPr>
      </w:pPr>
      <w:r w:rsidRPr="00AE5CD3">
        <w:rPr>
          <w:rFonts w:asciiTheme="majorHAnsi" w:hAnsiTheme="majorHAnsi"/>
          <w:lang w:val="bg-BG"/>
        </w:rPr>
        <w:t xml:space="preserve">Оценката на проектни предложения по настоящата процедура се осъществява в съответствие с Вътрешни правила №ВП.4 за подбор на проекти по мерки от ОПИК, приети от УС на МИГ с решение  </w:t>
      </w:r>
      <w:r w:rsidRPr="00AE5CD3">
        <w:rPr>
          <w:rFonts w:asciiTheme="majorHAnsi" w:hAnsiTheme="majorHAnsi"/>
          <w:sz w:val="23"/>
          <w:szCs w:val="23"/>
          <w:lang w:val="bg-BG"/>
        </w:rPr>
        <w:t>Решение № УС-1.10 от 11.06.2018</w:t>
      </w:r>
      <w:r w:rsidRPr="00AE5CD3">
        <w:rPr>
          <w:rStyle w:val="ae"/>
          <w:sz w:val="23"/>
          <w:szCs w:val="23"/>
          <w:lang w:val="bg-BG"/>
        </w:rPr>
        <w:footnoteReference w:id="17"/>
      </w:r>
      <w:r w:rsidRPr="00AE5CD3">
        <w:rPr>
          <w:sz w:val="23"/>
          <w:szCs w:val="23"/>
          <w:lang w:val="bg-BG"/>
        </w:rPr>
        <w:t xml:space="preserve">. </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МИГ </w:t>
      </w:r>
      <w:r w:rsidRPr="00AE5CD3">
        <w:rPr>
          <w:rFonts w:asciiTheme="majorHAnsi" w:hAnsiTheme="majorHAnsi"/>
          <w:u w:val="single"/>
          <w:lang w:val="bg-BG"/>
        </w:rPr>
        <w:t>прилага</w:t>
      </w:r>
      <w:r w:rsidRPr="00AE5CD3">
        <w:rPr>
          <w:rFonts w:asciiTheme="majorHAnsi" w:hAnsiTheme="majorHAnsi"/>
          <w:lang w:val="bg-BG"/>
        </w:rPr>
        <w:t xml:space="preserve"> процедура на подбор на проекти в съответствие с разпоредбите на чл. 25, ал. 1, т. 1 от Закона за управление на средствата от Европейските структурни и инвестиционни фондове, Глава пета Координация във връзка с одобрение на проекти към стратегия за ВОМР, Раздел І Подбор на проекти към стратегия за ВОМР на ПМС № 161/2016.МИГ провежда недискриминационна и прозрачна процедура за подбор на проекти, спазвайки следните основни принципи:</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1.избягване на конфликт на интереси при избора на проекти;</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2. поне 50 на сто от гласовете при решения за подбор са дадени от членове, които не са представители на публичния сектор;</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3.резултатите от подбора се документират.</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eastAsia="bg-BG"/>
        </w:rPr>
      </w:pPr>
      <w:r w:rsidRPr="00AE5CD3">
        <w:rPr>
          <w:rFonts w:asciiTheme="majorHAnsi" w:hAnsiTheme="majorHAnsi"/>
          <w:lang w:val="bg-BG"/>
        </w:rPr>
        <w:t>Подбор</w:t>
      </w:r>
      <w:r w:rsidR="00B0743E">
        <w:rPr>
          <w:rFonts w:asciiTheme="majorHAnsi" w:hAnsiTheme="majorHAnsi"/>
          <w:lang w:val="bg-BG"/>
        </w:rPr>
        <w:t>ът</w:t>
      </w:r>
      <w:r w:rsidRPr="00AE5CD3">
        <w:rPr>
          <w:rFonts w:asciiTheme="majorHAnsi" w:hAnsiTheme="majorHAnsi"/>
          <w:lang w:val="bg-BG"/>
        </w:rPr>
        <w:t xml:space="preserve"> на проектни предложения към стратегия за ВОМР се извършва от </w:t>
      </w:r>
      <w:r w:rsidRPr="00AE5CD3">
        <w:rPr>
          <w:rFonts w:asciiTheme="majorHAnsi" w:hAnsiTheme="majorHAnsi"/>
          <w:u w:val="single"/>
          <w:lang w:val="bg-BG"/>
        </w:rPr>
        <w:t>Комисия за</w:t>
      </w:r>
      <w:r w:rsidR="007F1F68" w:rsidRPr="007F1F68">
        <w:rPr>
          <w:rFonts w:asciiTheme="majorHAnsi" w:hAnsiTheme="majorHAnsi"/>
          <w:u w:val="single"/>
          <w:lang w:val="ru-RU"/>
        </w:rPr>
        <w:t xml:space="preserve"> </w:t>
      </w:r>
      <w:r w:rsidRPr="00AE5CD3">
        <w:rPr>
          <w:rFonts w:asciiTheme="majorHAnsi" w:hAnsiTheme="majorHAnsi"/>
          <w:u w:val="single"/>
          <w:lang w:val="bg-BG"/>
        </w:rPr>
        <w:t>подбор, назначена от МИГ</w:t>
      </w:r>
      <w:r w:rsidRPr="00AE5CD3">
        <w:rPr>
          <w:rFonts w:asciiTheme="majorHAnsi" w:hAnsiTheme="majorHAnsi"/>
          <w:lang w:val="bg-BG"/>
        </w:rPr>
        <w:t xml:space="preserve"> съгласно разпоредбите на чл. 44, ал. 1 на ПМС 161 от 4 юли </w:t>
      </w:r>
      <w:smartTag w:uri="urn:schemas-microsoft-com:office:smarttags" w:element="metricconverter">
        <w:smartTagPr>
          <w:attr w:name="ProductID" w:val="2016 г"/>
        </w:smartTagPr>
        <w:r w:rsidRPr="00AE5CD3">
          <w:rPr>
            <w:rFonts w:asciiTheme="majorHAnsi" w:hAnsiTheme="majorHAnsi"/>
            <w:lang w:val="bg-BG"/>
          </w:rPr>
          <w:t>2016 г</w:t>
        </w:r>
      </w:smartTag>
      <w:r w:rsidRPr="00AE5CD3">
        <w:rPr>
          <w:rFonts w:asciiTheme="majorHAnsi" w:hAnsiTheme="majorHAnsi"/>
          <w:lang w:val="bg-BG"/>
        </w:rPr>
        <w:t xml:space="preserve">. </w:t>
      </w:r>
      <w:r w:rsidRPr="00AE5CD3">
        <w:rPr>
          <w:rFonts w:asciiTheme="majorHAnsi" w:hAnsiTheme="majorHAnsi"/>
          <w:lang w:val="bg-BG" w:eastAsia="bg-BG"/>
        </w:rPr>
        <w:t xml:space="preserve">Комисията за подбор на проектни предложения, назначена от МИГ, спазва Единната недискриминационна и прозрачна процедура за подбор на проекти на база разработените за всяка процедура за подбор Критерии и методология за оценка на проектните предложения в съответствие с одобрените от КН на ОПИК и ОПИМСП Методология и критерии за подбор на операции. </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Оценката на проектните предложения включва:</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b/>
          <w:lang w:val="bg-BG"/>
        </w:rPr>
        <w:t>Етап 1:</w:t>
      </w:r>
      <w:r w:rsidRPr="00AE5CD3">
        <w:rPr>
          <w:rFonts w:asciiTheme="majorHAnsi" w:hAnsiTheme="majorHAnsi"/>
          <w:lang w:val="bg-BG"/>
        </w:rPr>
        <w:t xml:space="preserve"> Оценка на административното съответствие и допустимостта;</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b/>
          <w:lang w:val="bg-BG"/>
        </w:rPr>
        <w:t>Етап 2</w:t>
      </w:r>
      <w:r w:rsidRPr="00AE5CD3">
        <w:rPr>
          <w:rFonts w:asciiTheme="majorHAnsi" w:hAnsiTheme="majorHAnsi"/>
          <w:lang w:val="bg-BG"/>
        </w:rPr>
        <w:t>: Техническа и финансова оценка</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b/>
          <w:lang w:val="bg-BG"/>
        </w:rPr>
        <w:t>ВАЖНО:</w:t>
      </w:r>
      <w:r w:rsidRPr="00AE5CD3">
        <w:rPr>
          <w:rFonts w:asciiTheme="majorHAnsi" w:hAnsiTheme="majorHAnsi"/>
          <w:lang w:val="bg-BG"/>
        </w:rPr>
        <w:t xml:space="preserve"> Критерии</w:t>
      </w:r>
      <w:r w:rsidR="00720D2B">
        <w:rPr>
          <w:rFonts w:asciiTheme="majorHAnsi" w:hAnsiTheme="majorHAnsi"/>
          <w:lang w:val="bg-BG"/>
        </w:rPr>
        <w:t>те</w:t>
      </w:r>
      <w:r w:rsidRPr="00AE5CD3">
        <w:rPr>
          <w:rFonts w:asciiTheme="majorHAnsi" w:hAnsiTheme="majorHAnsi"/>
          <w:lang w:val="bg-BG"/>
        </w:rPr>
        <w:t xml:space="preserve"> и методологията за оценка на проектните предложения</w:t>
      </w:r>
      <w:r w:rsidR="000B7942" w:rsidRPr="00AE5CD3">
        <w:rPr>
          <w:rFonts w:asciiTheme="majorHAnsi" w:hAnsiTheme="majorHAnsi"/>
          <w:lang w:val="bg-BG"/>
        </w:rPr>
        <w:t xml:space="preserve"> (</w:t>
      </w:r>
      <w:r w:rsidR="000B7942" w:rsidRPr="00675D84">
        <w:rPr>
          <w:rFonts w:asciiTheme="majorHAnsi" w:hAnsiTheme="majorHAnsi"/>
          <w:b/>
          <w:lang w:val="bg-BG"/>
        </w:rPr>
        <w:t>Приложение Ж</w:t>
      </w:r>
      <w:r w:rsidR="000B7942" w:rsidRPr="00AE5CD3">
        <w:rPr>
          <w:rFonts w:asciiTheme="majorHAnsi" w:hAnsiTheme="majorHAnsi"/>
          <w:lang w:val="bg-BG"/>
        </w:rPr>
        <w:t>)</w:t>
      </w:r>
      <w:r w:rsidRPr="00AE5CD3">
        <w:rPr>
          <w:rFonts w:asciiTheme="majorHAnsi" w:hAnsiTheme="majorHAnsi"/>
          <w:lang w:val="bg-BG"/>
        </w:rPr>
        <w:t xml:space="preserve"> не подлежат на изменение по време на провеждането на оценката. Не се допуска въвеждането на допълнителни критерии за оценка или изменение на критериите по време на провеждането на процедурата по оценка с изключение на случаите по чл. 26, ал. 7 от ЗУСЕСИФ.</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p>
    <w:p w:rsidR="005A1B22" w:rsidRPr="00AE5CD3" w:rsidRDefault="005A1B22" w:rsidP="003F2254">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Комисията за подбор на проектни предложения (КППП)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Членовете на комисията могат да бъдат служители на МИГ, членове на общото събрание на МИГ и външни </w:t>
      </w:r>
      <w:r w:rsidRPr="00AE5CD3">
        <w:rPr>
          <w:rFonts w:asciiTheme="majorHAnsi" w:hAnsiTheme="majorHAnsi"/>
          <w:lang w:val="bg-BG"/>
        </w:rPr>
        <w:lastRenderedPageBreak/>
        <w:t>експерти - оценители. Председателят и секретарят на комисията не могат да бъдат външни експерти.  Делът на представителите на публичния сектор в комисията не може да превишава 50 на сто от имащите право на глас членове. Външните експерти - оценители се избират при спазване на разпоредбите на чл. 13 от ПМС № 162 от 2016 г. В работата на комисията могат да участват и наблюдатели по предложение на съответния УО и помощник оценители, които не са членове на КППП. Помощник оценителите са служители на МИГ, или външни експерти – оценители, които подпомагат дейността по оценка и чиято дейност се ограничава до етапите на оценка, определени в заповедта за назначаване на КППП. Председателят, секретарят и членовете на комисията, както и наблюдателите и помощник – оценители трябва да притежават необходимата квалификация и професионална компетентност за изпълнение на задачите, възложени им със заповедта за назначаване. Те са длъжни да изпълняват задълженията си добросъвестно, обективно и безпристрастно, както и да пазят в тайна обстоятелствата, които са узнали във връзка със своята работа в комисията.</w:t>
      </w:r>
      <w:r w:rsidR="00A94D9B">
        <w:rPr>
          <w:rFonts w:asciiTheme="majorHAnsi" w:hAnsiTheme="majorHAnsi"/>
          <w:lang w:val="bg-BG"/>
        </w:rPr>
        <w:t xml:space="preserve">  </w:t>
      </w:r>
      <w:r w:rsidRPr="00AE5CD3">
        <w:rPr>
          <w:rFonts w:asciiTheme="majorHAnsi" w:hAnsiTheme="majorHAnsi"/>
          <w:lang w:val="bg-BG"/>
        </w:rPr>
        <w:t>Те не могат:</w:t>
      </w:r>
    </w:p>
    <w:p w:rsidR="005A1B22" w:rsidRPr="00AE5CD3" w:rsidRDefault="005A1B22" w:rsidP="00A94D9B">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1.</w:t>
      </w:r>
      <w:r w:rsidRPr="00AE5CD3">
        <w:rPr>
          <w:rFonts w:asciiTheme="majorHAnsi" w:hAnsiTheme="majorHAnsi"/>
          <w:lang w:val="bg-BG"/>
        </w:rPr>
        <w:tab/>
      </w:r>
      <w:r w:rsidR="00A94D9B" w:rsidRPr="00A94D9B">
        <w:rPr>
          <w:rFonts w:asciiTheme="majorHAnsi" w:hAnsiTheme="majorHAnsi"/>
          <w:lang w:val="bg-BG"/>
        </w:rPr>
        <w:t>да са в конфликт на интереси по смисъла на Регламент (ЕС, ЕВРАТОМ) №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(ОВ, L 193/1 от 30 юли 2018 г.) с някой от кандидатите или партньорите в процедурата за предоставяне на безвъзмездна помощ</w:t>
      </w:r>
      <w:r w:rsidRPr="00AE5CD3">
        <w:rPr>
          <w:rFonts w:asciiTheme="majorHAnsi" w:hAnsiTheme="majorHAnsi"/>
          <w:lang w:val="bg-BG"/>
        </w:rPr>
        <w:t xml:space="preserve">; </w:t>
      </w:r>
    </w:p>
    <w:p w:rsidR="005A1B22" w:rsidRPr="00AE5CD3" w:rsidRDefault="005A1B22" w:rsidP="00A94D9B">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2.</w:t>
      </w:r>
      <w:r w:rsidRPr="00AE5CD3">
        <w:rPr>
          <w:rFonts w:asciiTheme="majorHAnsi" w:hAnsiTheme="majorHAnsi"/>
          <w:lang w:val="bg-BG"/>
        </w:rPr>
        <w:tab/>
        <w:t xml:space="preserve">да имат интерес по смисъла на Закона за предотвратяване и установяване на конфликт на интереси от предоставянето на безвъзмездна финансова помощ по конкретната процедура; </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ind w:firstLine="284"/>
        <w:jc w:val="both"/>
        <w:rPr>
          <w:rFonts w:asciiTheme="majorHAnsi" w:hAnsiTheme="majorHAnsi"/>
          <w:lang w:val="bg-BG"/>
        </w:rPr>
      </w:pPr>
      <w:r w:rsidRPr="00AE5CD3">
        <w:rPr>
          <w:rFonts w:asciiTheme="majorHAnsi" w:hAnsiTheme="majorHAnsi"/>
          <w:lang w:val="bg-BG"/>
        </w:rPr>
        <w:t>3.</w:t>
      </w:r>
      <w:r w:rsidRPr="00AE5CD3">
        <w:rPr>
          <w:rFonts w:asciiTheme="majorHAnsi" w:hAnsiTheme="majorHAnsi"/>
          <w:lang w:val="bg-BG"/>
        </w:rPr>
        <w:tab/>
        <w:t>да са свързани лица по смисъла на § 1, т. 1 от допълнителните разпоредби на Закона за предотвратяване и установяване на конфликт на интереси с кандидат или партньор в процедурата;</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ind w:firstLine="284"/>
        <w:jc w:val="both"/>
        <w:rPr>
          <w:rFonts w:asciiTheme="majorHAnsi" w:hAnsiTheme="majorHAnsi"/>
          <w:lang w:val="bg-BG"/>
        </w:rPr>
      </w:pPr>
      <w:r w:rsidRPr="00AE5CD3">
        <w:rPr>
          <w:rFonts w:asciiTheme="majorHAnsi" w:hAnsiTheme="majorHAnsi"/>
          <w:lang w:val="bg-BG"/>
        </w:rPr>
        <w:t>4.</w:t>
      </w:r>
      <w:r w:rsidRPr="00AE5CD3">
        <w:rPr>
          <w:rFonts w:asciiTheme="majorHAnsi" w:hAnsiTheme="majorHAnsi"/>
          <w:lang w:val="bg-BG"/>
        </w:rPr>
        <w:tab/>
        <w:t>да са лица, които се намират помежду си в йерархична зависимост.</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В хода на оценителния процес по аналогия се спазват и ал. 4  - 9 на чл.16 от ПМС № 162 от 2016 г.</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Подаването на проектни предложения, както и процесът на оценка от МИГ, се провежда в системата ИСУН 2020. Проектните предложения се подават в рамките на срока, посочен в поканата. Оценяват се само проектни предложения, подадени с квалифициран електронен подпис (КЕП). Комисията за подбор на проектни предложения назначена от МИГ, </w:t>
      </w:r>
      <w:r w:rsidRPr="00AE5CD3">
        <w:rPr>
          <w:rFonts w:asciiTheme="majorHAnsi" w:hAnsiTheme="majorHAnsi"/>
          <w:u w:val="single"/>
          <w:lang w:val="bg-BG"/>
        </w:rPr>
        <w:t>спазва ред</w:t>
      </w:r>
      <w:r w:rsidRPr="00AE5CD3">
        <w:rPr>
          <w:rFonts w:asciiTheme="majorHAnsi" w:hAnsiTheme="majorHAnsi"/>
          <w:lang w:val="bg-BG"/>
        </w:rPr>
        <w:t xml:space="preserve"> за оценка на проектните предложения.</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Оценителната комисия в своята работа се ръководи от следните принципи:</w:t>
      </w:r>
    </w:p>
    <w:p w:rsidR="005A1B22" w:rsidRPr="00AE5CD3" w:rsidRDefault="005A1B22" w:rsidP="008119B6">
      <w:pPr>
        <w:pStyle w:val="33"/>
        <w:pBdr>
          <w:top w:val="single" w:sz="4" w:space="1" w:color="auto"/>
          <w:left w:val="single" w:sz="4" w:space="4" w:color="auto"/>
          <w:bottom w:val="single" w:sz="4" w:space="1" w:color="auto"/>
          <w:right w:val="single" w:sz="4" w:space="4" w:color="auto"/>
        </w:pBdr>
        <w:spacing w:line="240" w:lineRule="auto"/>
        <w:ind w:left="284" w:hanging="284"/>
        <w:rPr>
          <w:rFonts w:asciiTheme="majorHAnsi" w:hAnsiTheme="majorHAnsi"/>
          <w:sz w:val="24"/>
          <w:szCs w:val="24"/>
        </w:rPr>
      </w:pPr>
      <w:r w:rsidRPr="00AE5CD3">
        <w:rPr>
          <w:rFonts w:asciiTheme="majorHAnsi" w:hAnsiTheme="majorHAnsi"/>
          <w:sz w:val="24"/>
          <w:szCs w:val="24"/>
        </w:rPr>
        <w:tab/>
        <w:t>1.</w:t>
      </w:r>
      <w:r w:rsidRPr="00AE5CD3">
        <w:rPr>
          <w:rFonts w:asciiTheme="majorHAnsi" w:hAnsiTheme="majorHAnsi"/>
          <w:sz w:val="24"/>
          <w:szCs w:val="24"/>
        </w:rPr>
        <w:tab/>
        <w:t>добро финансово управление;</w:t>
      </w:r>
    </w:p>
    <w:p w:rsidR="005A1B22" w:rsidRPr="00AE5CD3" w:rsidRDefault="005A1B22" w:rsidP="008119B6">
      <w:pPr>
        <w:pStyle w:val="33"/>
        <w:pBdr>
          <w:top w:val="single" w:sz="4" w:space="1" w:color="auto"/>
          <w:left w:val="single" w:sz="4" w:space="4" w:color="auto"/>
          <w:bottom w:val="single" w:sz="4" w:space="1" w:color="auto"/>
          <w:right w:val="single" w:sz="4" w:space="4" w:color="auto"/>
        </w:pBdr>
        <w:spacing w:line="240" w:lineRule="auto"/>
        <w:ind w:left="284" w:hanging="284"/>
        <w:rPr>
          <w:rFonts w:asciiTheme="majorHAnsi" w:hAnsiTheme="majorHAnsi"/>
          <w:sz w:val="24"/>
          <w:szCs w:val="24"/>
        </w:rPr>
      </w:pPr>
      <w:r w:rsidRPr="00AE5CD3">
        <w:rPr>
          <w:rFonts w:asciiTheme="majorHAnsi" w:hAnsiTheme="majorHAnsi"/>
          <w:sz w:val="24"/>
          <w:szCs w:val="24"/>
        </w:rPr>
        <w:tab/>
        <w:t>2.</w:t>
      </w:r>
      <w:r w:rsidRPr="00AE5CD3">
        <w:rPr>
          <w:rFonts w:asciiTheme="majorHAnsi" w:hAnsiTheme="majorHAnsi"/>
          <w:sz w:val="24"/>
          <w:szCs w:val="24"/>
        </w:rPr>
        <w:tab/>
        <w:t>публичност и прозрачност;</w:t>
      </w:r>
    </w:p>
    <w:p w:rsidR="005A1B22" w:rsidRPr="00AE5CD3" w:rsidRDefault="005A1B22" w:rsidP="008119B6">
      <w:pPr>
        <w:pStyle w:val="33"/>
        <w:pBdr>
          <w:top w:val="single" w:sz="4" w:space="1" w:color="auto"/>
          <w:left w:val="single" w:sz="4" w:space="4" w:color="auto"/>
          <w:bottom w:val="single" w:sz="4" w:space="1" w:color="auto"/>
          <w:right w:val="single" w:sz="4" w:space="4" w:color="auto"/>
        </w:pBdr>
        <w:spacing w:line="240" w:lineRule="auto"/>
        <w:ind w:left="284" w:hanging="284"/>
        <w:rPr>
          <w:rFonts w:asciiTheme="majorHAnsi" w:hAnsiTheme="majorHAnsi"/>
          <w:sz w:val="24"/>
          <w:szCs w:val="24"/>
        </w:rPr>
      </w:pPr>
      <w:r w:rsidRPr="00AE5CD3">
        <w:rPr>
          <w:rFonts w:asciiTheme="majorHAnsi" w:hAnsiTheme="majorHAnsi"/>
          <w:sz w:val="24"/>
          <w:szCs w:val="24"/>
        </w:rPr>
        <w:tab/>
        <w:t>3.</w:t>
      </w:r>
      <w:r w:rsidRPr="00AE5CD3">
        <w:rPr>
          <w:rFonts w:asciiTheme="majorHAnsi" w:hAnsiTheme="majorHAnsi"/>
          <w:sz w:val="24"/>
          <w:szCs w:val="24"/>
        </w:rPr>
        <w:tab/>
        <w:t>не се допуска въвеждането на допълнителни критерии за оценка или изменение на критериите по време на провеждането на процедурата;</w:t>
      </w:r>
    </w:p>
    <w:p w:rsidR="005A1B22" w:rsidRPr="00AE5CD3" w:rsidRDefault="005A1B22" w:rsidP="008119B6">
      <w:pPr>
        <w:pStyle w:val="33"/>
        <w:pBdr>
          <w:top w:val="single" w:sz="4" w:space="1" w:color="auto"/>
          <w:left w:val="single" w:sz="4" w:space="4" w:color="auto"/>
          <w:bottom w:val="single" w:sz="4" w:space="1" w:color="auto"/>
          <w:right w:val="single" w:sz="4" w:space="4" w:color="auto"/>
        </w:pBdr>
        <w:spacing w:line="240" w:lineRule="auto"/>
        <w:ind w:left="284" w:hanging="284"/>
        <w:rPr>
          <w:rFonts w:asciiTheme="majorHAnsi" w:hAnsiTheme="majorHAnsi"/>
          <w:sz w:val="24"/>
          <w:szCs w:val="24"/>
        </w:rPr>
      </w:pPr>
      <w:r w:rsidRPr="00AE5CD3">
        <w:rPr>
          <w:rFonts w:asciiTheme="majorHAnsi" w:hAnsiTheme="majorHAnsi"/>
          <w:sz w:val="24"/>
          <w:szCs w:val="24"/>
        </w:rPr>
        <w:tab/>
        <w:t>4.</w:t>
      </w:r>
      <w:r w:rsidRPr="00AE5CD3">
        <w:rPr>
          <w:rFonts w:asciiTheme="majorHAnsi" w:hAnsiTheme="majorHAnsi"/>
          <w:sz w:val="24"/>
          <w:szCs w:val="24"/>
        </w:rPr>
        <w:tab/>
        <w:t>свободна и лоялна конкуренция - оценяването на проектите и предоставянето на безвъзмездна помощ се осъществява при липса на конфликт на интереси и равно третиране на всички кандидати;</w:t>
      </w:r>
    </w:p>
    <w:p w:rsidR="005A1B22" w:rsidRPr="00AE5CD3" w:rsidRDefault="005A1B22" w:rsidP="008119B6">
      <w:pPr>
        <w:pStyle w:val="33"/>
        <w:pBdr>
          <w:top w:val="single" w:sz="4" w:space="1" w:color="auto"/>
          <w:left w:val="single" w:sz="4" w:space="4" w:color="auto"/>
          <w:bottom w:val="single" w:sz="4" w:space="1" w:color="auto"/>
          <w:right w:val="single" w:sz="4" w:space="4" w:color="auto"/>
        </w:pBdr>
        <w:spacing w:line="240" w:lineRule="auto"/>
        <w:ind w:left="284" w:hanging="284"/>
        <w:rPr>
          <w:rFonts w:asciiTheme="majorHAnsi" w:hAnsiTheme="majorHAnsi"/>
          <w:sz w:val="24"/>
          <w:szCs w:val="24"/>
        </w:rPr>
      </w:pPr>
      <w:r w:rsidRPr="00AE5CD3">
        <w:rPr>
          <w:rFonts w:asciiTheme="majorHAnsi" w:hAnsiTheme="majorHAnsi"/>
          <w:sz w:val="24"/>
          <w:szCs w:val="24"/>
        </w:rPr>
        <w:tab/>
        <w:t>5.</w:t>
      </w:r>
      <w:r w:rsidRPr="00AE5CD3">
        <w:rPr>
          <w:rFonts w:asciiTheme="majorHAnsi" w:hAnsiTheme="majorHAnsi"/>
          <w:sz w:val="24"/>
          <w:szCs w:val="24"/>
        </w:rPr>
        <w:tab/>
        <w:t>равнопоставеност и недопускане на дискриминация - еднакво прилагане на правилата спрямо всички кандидати;</w:t>
      </w:r>
    </w:p>
    <w:p w:rsidR="005A1B22" w:rsidRPr="00AE5CD3" w:rsidRDefault="005A1B22" w:rsidP="008119B6">
      <w:pPr>
        <w:pStyle w:val="33"/>
        <w:pBdr>
          <w:top w:val="single" w:sz="4" w:space="1" w:color="auto"/>
          <w:left w:val="single" w:sz="4" w:space="4" w:color="auto"/>
          <w:bottom w:val="single" w:sz="4" w:space="1" w:color="auto"/>
          <w:right w:val="single" w:sz="4" w:space="4" w:color="auto"/>
        </w:pBdr>
        <w:spacing w:line="240" w:lineRule="auto"/>
        <w:ind w:left="284" w:hanging="284"/>
        <w:rPr>
          <w:rFonts w:asciiTheme="majorHAnsi" w:hAnsiTheme="majorHAnsi"/>
          <w:sz w:val="24"/>
          <w:szCs w:val="24"/>
        </w:rPr>
      </w:pPr>
      <w:r w:rsidRPr="00AE5CD3">
        <w:rPr>
          <w:rFonts w:asciiTheme="majorHAnsi" w:hAnsiTheme="majorHAnsi"/>
          <w:sz w:val="24"/>
          <w:szCs w:val="24"/>
        </w:rPr>
        <w:tab/>
        <w:t>6.</w:t>
      </w:r>
      <w:r w:rsidRPr="00AE5CD3">
        <w:rPr>
          <w:rFonts w:asciiTheme="majorHAnsi" w:hAnsiTheme="majorHAnsi"/>
          <w:sz w:val="24"/>
          <w:szCs w:val="24"/>
        </w:rPr>
        <w:tab/>
        <w:t xml:space="preserve">забрана за двойно финансиране - безвъзмездната финансова помощ не може да бъде предоставяна за финансиране на разходи, които вече са финансирани със средства от ЕСИФ или чрез други инструменти на ЕС в съответствие с чл.65, </w:t>
      </w:r>
      <w:r w:rsidRPr="00AE5CD3">
        <w:rPr>
          <w:rFonts w:asciiTheme="majorHAnsi" w:hAnsiTheme="majorHAnsi"/>
          <w:sz w:val="24"/>
          <w:szCs w:val="24"/>
        </w:rPr>
        <w:lastRenderedPageBreak/>
        <w:t>параграф 11 от Регламент (ЕС) № 1303/2013, както и с други публични средства, различни от тези на бенефициента - по време на процедурата по оценка се извършва проверка за липса на двойно финансиране на проектите;</w:t>
      </w:r>
    </w:p>
    <w:p w:rsidR="005A1B22" w:rsidRPr="00AE5CD3" w:rsidRDefault="005A1B22" w:rsidP="008119B6">
      <w:pPr>
        <w:pStyle w:val="33"/>
        <w:pBdr>
          <w:top w:val="single" w:sz="4" w:space="1" w:color="auto"/>
          <w:left w:val="single" w:sz="4" w:space="4" w:color="auto"/>
          <w:bottom w:val="single" w:sz="4" w:space="1" w:color="auto"/>
          <w:right w:val="single" w:sz="4" w:space="4" w:color="auto"/>
        </w:pBdr>
        <w:spacing w:line="240" w:lineRule="auto"/>
        <w:ind w:left="284" w:hanging="284"/>
        <w:rPr>
          <w:rFonts w:asciiTheme="majorHAnsi" w:hAnsiTheme="majorHAnsi"/>
          <w:sz w:val="24"/>
          <w:szCs w:val="24"/>
        </w:rPr>
      </w:pPr>
      <w:r w:rsidRPr="00AE5CD3">
        <w:rPr>
          <w:rFonts w:asciiTheme="majorHAnsi" w:hAnsiTheme="majorHAnsi"/>
          <w:sz w:val="24"/>
          <w:szCs w:val="24"/>
        </w:rPr>
        <w:tab/>
        <w:t>7.</w:t>
      </w:r>
      <w:r w:rsidRPr="00AE5CD3">
        <w:rPr>
          <w:rFonts w:asciiTheme="majorHAnsi" w:hAnsiTheme="majorHAnsi"/>
          <w:sz w:val="24"/>
          <w:szCs w:val="24"/>
        </w:rPr>
        <w:tab/>
        <w:t>съобразяване с прага на допустимите минимални помощи;</w:t>
      </w:r>
    </w:p>
    <w:p w:rsidR="005A1B22" w:rsidRPr="00AE5CD3" w:rsidRDefault="005A1B22" w:rsidP="008119B6">
      <w:pPr>
        <w:pStyle w:val="33"/>
        <w:pBdr>
          <w:top w:val="single" w:sz="4" w:space="1" w:color="auto"/>
          <w:left w:val="single" w:sz="4" w:space="4" w:color="auto"/>
          <w:bottom w:val="single" w:sz="4" w:space="1" w:color="auto"/>
          <w:right w:val="single" w:sz="4" w:space="4" w:color="auto"/>
        </w:pBdr>
        <w:spacing w:line="240" w:lineRule="auto"/>
        <w:ind w:left="284" w:hanging="284"/>
        <w:rPr>
          <w:rFonts w:asciiTheme="majorHAnsi" w:hAnsiTheme="majorHAnsi"/>
          <w:sz w:val="24"/>
          <w:szCs w:val="24"/>
        </w:rPr>
      </w:pPr>
      <w:r w:rsidRPr="00AE5CD3">
        <w:rPr>
          <w:rFonts w:asciiTheme="majorHAnsi" w:hAnsiTheme="majorHAnsi"/>
          <w:sz w:val="24"/>
          <w:szCs w:val="24"/>
        </w:rPr>
        <w:tab/>
        <w:t>8.</w:t>
      </w:r>
      <w:r w:rsidRPr="00AE5CD3">
        <w:rPr>
          <w:rFonts w:asciiTheme="majorHAnsi" w:hAnsiTheme="majorHAnsi"/>
          <w:sz w:val="24"/>
          <w:szCs w:val="24"/>
        </w:rPr>
        <w:tab/>
        <w:t>спазване на срока, определен в чл. 44, ал. 1 от ПМС 161/2016 г.</w:t>
      </w:r>
    </w:p>
    <w:p w:rsidR="005A1B22" w:rsidRPr="00AE5CD3" w:rsidRDefault="005A1B22" w:rsidP="008119B6">
      <w:pPr>
        <w:pStyle w:val="33"/>
        <w:pBdr>
          <w:top w:val="single" w:sz="4" w:space="1" w:color="auto"/>
          <w:left w:val="single" w:sz="4" w:space="4" w:color="auto"/>
          <w:bottom w:val="single" w:sz="4" w:space="1" w:color="auto"/>
          <w:right w:val="single" w:sz="4" w:space="4" w:color="auto"/>
        </w:pBdr>
        <w:spacing w:after="0" w:line="240" w:lineRule="auto"/>
        <w:ind w:left="0" w:firstLine="0"/>
        <w:jc w:val="both"/>
        <w:rPr>
          <w:rFonts w:asciiTheme="majorHAnsi" w:hAnsiTheme="majorHAnsi"/>
          <w:sz w:val="26"/>
          <w:szCs w:val="26"/>
        </w:rPr>
      </w:pPr>
      <w:r w:rsidRPr="00AE5CD3">
        <w:rPr>
          <w:rFonts w:asciiTheme="majorHAnsi" w:hAnsiTheme="majorHAnsi"/>
          <w:b/>
          <w:sz w:val="24"/>
          <w:szCs w:val="24"/>
        </w:rPr>
        <w:t>ВАЖНО:</w:t>
      </w:r>
      <w:r w:rsidRPr="00AE5CD3">
        <w:rPr>
          <w:rFonts w:asciiTheme="majorHAnsi" w:hAnsiTheme="majorHAnsi"/>
          <w:sz w:val="24"/>
          <w:szCs w:val="24"/>
        </w:rPr>
        <w:t xml:space="preserve"> За комуникация с кандидата се използва само и единствено ИСУН 2020. Този начин на уведомяване е предвиден в чл. 27, ал. 1, изречение първо от Наредбата за определяне на условията, реда и механизма за функциониране на Информационната система за управление и наблюдение на средствата от Европейските структурни и инвестиционни фондове (ИСУН) и за провеждане на производства пред управляващите органи посредством ИСУН (приета с ПМС № 243 от 20.09.2016 г., обн., ДВ, бр. 76 от 30.09.2016 г</w:t>
      </w:r>
      <w:r w:rsidRPr="00AE5CD3">
        <w:rPr>
          <w:rFonts w:asciiTheme="majorHAnsi" w:hAnsiTheme="majorHAnsi"/>
          <w:color w:val="000000"/>
          <w:sz w:val="24"/>
          <w:szCs w:val="24"/>
        </w:rPr>
        <w:t>. За дата на получаване на съобщение от кандидата се счита датата на изпращането му чрез ИСУН 2020.</w:t>
      </w:r>
      <w:r w:rsidRPr="00AE5CD3">
        <w:rPr>
          <w:rFonts w:asciiTheme="majorHAnsi" w:hAnsiTheme="majorHAnsi"/>
          <w:sz w:val="24"/>
          <w:szCs w:val="24"/>
        </w:rPr>
        <w:t xml:space="preserve"> МИГ и Управляващият орган не носят отговорност, ако поради грешни и/или непълни данни за кореспонденция, предоставени от самите кандидати, те </w:t>
      </w:r>
      <w:r w:rsidRPr="00AE5CD3">
        <w:rPr>
          <w:rFonts w:asciiTheme="majorHAnsi" w:hAnsiTheme="majorHAnsi"/>
          <w:sz w:val="24"/>
          <w:szCs w:val="26"/>
        </w:rPr>
        <w:t>не получават кореспонденцията.</w:t>
      </w:r>
    </w:p>
    <w:p w:rsidR="005A1B22" w:rsidRPr="00AE5CD3" w:rsidRDefault="005A1B22" w:rsidP="008119B6">
      <w:pPr>
        <w:pStyle w:val="30"/>
        <w:spacing w:before="0" w:line="240" w:lineRule="auto"/>
        <w:rPr>
          <w:rFonts w:asciiTheme="majorHAnsi" w:hAnsiTheme="majorHAnsi"/>
          <w:sz w:val="26"/>
          <w:szCs w:val="26"/>
        </w:rPr>
      </w:pPr>
      <w:bookmarkStart w:id="123" w:name="_Toc476823162"/>
    </w:p>
    <w:p w:rsidR="005A1B22" w:rsidRPr="00AE5CD3" w:rsidRDefault="005A1B22" w:rsidP="008119B6">
      <w:pPr>
        <w:pStyle w:val="30"/>
        <w:spacing w:before="0" w:line="240" w:lineRule="auto"/>
        <w:rPr>
          <w:rFonts w:asciiTheme="majorHAnsi" w:hAnsiTheme="majorHAnsi"/>
          <w:sz w:val="28"/>
          <w:szCs w:val="28"/>
        </w:rPr>
      </w:pPr>
      <w:bookmarkStart w:id="124" w:name="_Toc514333719"/>
      <w:bookmarkStart w:id="125" w:name="_Toc514334559"/>
      <w:bookmarkStart w:id="126" w:name="_Toc514334651"/>
      <w:r w:rsidRPr="00AE5CD3">
        <w:rPr>
          <w:rFonts w:asciiTheme="majorHAnsi" w:hAnsiTheme="majorHAnsi"/>
          <w:sz w:val="26"/>
          <w:szCs w:val="26"/>
        </w:rPr>
        <w:t>21.1. Оценка на  административното съответствие и допустимостта</w:t>
      </w:r>
      <w:bookmarkEnd w:id="123"/>
      <w:bookmarkEnd w:id="124"/>
      <w:bookmarkEnd w:id="125"/>
      <w:bookmarkEnd w:id="126"/>
    </w:p>
    <w:p w:rsidR="005A1B22" w:rsidRPr="00AE5CD3" w:rsidRDefault="005A1B22" w:rsidP="008119B6">
      <w:pPr>
        <w:pStyle w:val="34"/>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sz w:val="24"/>
          <w:szCs w:val="24"/>
        </w:rPr>
      </w:pPr>
      <w:r w:rsidRPr="00AE5CD3">
        <w:rPr>
          <w:rFonts w:asciiTheme="majorHAnsi" w:hAnsiTheme="majorHAnsi"/>
          <w:sz w:val="24"/>
          <w:szCs w:val="24"/>
        </w:rPr>
        <w:t>Оценка</w:t>
      </w:r>
      <w:r w:rsidR="00F05675">
        <w:rPr>
          <w:rFonts w:asciiTheme="majorHAnsi" w:hAnsiTheme="majorHAnsi"/>
          <w:sz w:val="24"/>
          <w:szCs w:val="24"/>
        </w:rPr>
        <w:t xml:space="preserve">та </w:t>
      </w:r>
      <w:r w:rsidRPr="00AE5CD3">
        <w:rPr>
          <w:rFonts w:asciiTheme="majorHAnsi" w:hAnsiTheme="majorHAnsi"/>
          <w:sz w:val="24"/>
          <w:szCs w:val="24"/>
        </w:rPr>
        <w:t xml:space="preserve"> на </w:t>
      </w:r>
      <w:r w:rsidRPr="00AE5CD3">
        <w:rPr>
          <w:rFonts w:asciiTheme="majorHAnsi" w:hAnsiTheme="majorHAnsi"/>
          <w:sz w:val="24"/>
          <w:szCs w:val="24"/>
          <w:u w:val="single"/>
        </w:rPr>
        <w:t>административното съответствие и допустимостта</w:t>
      </w:r>
      <w:r w:rsidRPr="00AE5CD3">
        <w:rPr>
          <w:rFonts w:asciiTheme="majorHAnsi" w:hAnsiTheme="majorHAnsi"/>
          <w:sz w:val="24"/>
          <w:szCs w:val="24"/>
        </w:rPr>
        <w:t xml:space="preserve"> е етап от оценката на проектните предложения, при който се извършва проверка относно формалното съответствие на проектните предложения и на допустимостта на кандидатите и проектните дейности съгласно документите по чл. 42, ал. 3 на ПМС 161 от 4 юли </w:t>
      </w:r>
      <w:smartTag w:uri="urn:schemas-microsoft-com:office:smarttags" w:element="metricconverter">
        <w:smartTagPr>
          <w:attr w:name="ProductID" w:val="2016 г"/>
        </w:smartTagPr>
        <w:r w:rsidRPr="00AE5CD3">
          <w:rPr>
            <w:rFonts w:asciiTheme="majorHAnsi" w:hAnsiTheme="majorHAnsi"/>
            <w:sz w:val="24"/>
            <w:szCs w:val="24"/>
          </w:rPr>
          <w:t>2016 г</w:t>
        </w:r>
      </w:smartTag>
      <w:r w:rsidRPr="00AE5CD3">
        <w:rPr>
          <w:rFonts w:asciiTheme="majorHAnsi" w:hAnsiTheme="majorHAnsi"/>
          <w:sz w:val="24"/>
          <w:szCs w:val="24"/>
        </w:rPr>
        <w:t>.</w:t>
      </w:r>
    </w:p>
    <w:p w:rsidR="005A1B22" w:rsidRPr="00AE5CD3" w:rsidRDefault="005A1B22" w:rsidP="008119B6">
      <w:pPr>
        <w:pStyle w:val="34"/>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sz w:val="24"/>
          <w:szCs w:val="24"/>
        </w:rPr>
      </w:pPr>
      <w:r w:rsidRPr="00AE5CD3">
        <w:rPr>
          <w:rFonts w:asciiTheme="majorHAnsi" w:hAnsiTheme="majorHAnsi"/>
          <w:sz w:val="24"/>
          <w:szCs w:val="24"/>
        </w:rPr>
        <w:t>Комисията за подбор, назначена от МИГ, проверява дали проектното предложение отговаря на всички критерии, описани в Условията за кандидатстване, като ги оценява с „ДА“, „НЕ“ или „Неприложимо“.</w:t>
      </w:r>
    </w:p>
    <w:p w:rsidR="005A1B22" w:rsidRPr="00AE5CD3" w:rsidRDefault="005A1B22" w:rsidP="003F2254">
      <w:pPr>
        <w:pStyle w:val="34"/>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В процеса на оценка на административното съответствие и допустимостта Комисията за подбор проверява дали:</w:t>
      </w:r>
    </w:p>
    <w:p w:rsidR="005A1B22" w:rsidRPr="00AE5CD3" w:rsidRDefault="005A1B22" w:rsidP="003F2254">
      <w:pPr>
        <w:pStyle w:val="4"/>
        <w:pBdr>
          <w:top w:val="single" w:sz="4" w:space="1" w:color="auto"/>
          <w:left w:val="single" w:sz="4" w:space="4" w:color="auto"/>
          <w:bottom w:val="single" w:sz="4" w:space="1" w:color="auto"/>
          <w:right w:val="single" w:sz="4" w:space="4" w:color="auto"/>
        </w:pBdr>
        <w:tabs>
          <w:tab w:val="clear" w:pos="1209"/>
          <w:tab w:val="num" w:pos="284"/>
        </w:tabs>
        <w:spacing w:after="0" w:line="240" w:lineRule="auto"/>
        <w:ind w:left="284" w:hanging="284"/>
        <w:jc w:val="both"/>
        <w:rPr>
          <w:rFonts w:asciiTheme="majorHAnsi" w:hAnsiTheme="majorHAnsi"/>
          <w:sz w:val="24"/>
          <w:szCs w:val="24"/>
        </w:rPr>
      </w:pPr>
      <w:r w:rsidRPr="00AE5CD3">
        <w:rPr>
          <w:rFonts w:asciiTheme="majorHAnsi" w:hAnsiTheme="majorHAnsi"/>
          <w:sz w:val="24"/>
          <w:szCs w:val="24"/>
        </w:rPr>
        <w:t xml:space="preserve">проектното предложение се отнася за обявената процедура за подбор на проекти;  </w:t>
      </w:r>
    </w:p>
    <w:p w:rsidR="005A1B22" w:rsidRPr="00AE5CD3" w:rsidRDefault="005A1B22" w:rsidP="008119B6">
      <w:pPr>
        <w:pStyle w:val="4"/>
        <w:pBdr>
          <w:top w:val="single" w:sz="4" w:space="1" w:color="auto"/>
          <w:left w:val="single" w:sz="4" w:space="4" w:color="auto"/>
          <w:bottom w:val="single" w:sz="4" w:space="1" w:color="auto"/>
          <w:right w:val="single" w:sz="4" w:space="4" w:color="auto"/>
        </w:pBdr>
        <w:tabs>
          <w:tab w:val="clear" w:pos="1209"/>
          <w:tab w:val="num" w:pos="284"/>
        </w:tabs>
        <w:spacing w:line="240" w:lineRule="auto"/>
        <w:ind w:left="284" w:hanging="284"/>
        <w:jc w:val="both"/>
        <w:rPr>
          <w:rFonts w:asciiTheme="majorHAnsi" w:hAnsiTheme="majorHAnsi"/>
          <w:sz w:val="24"/>
          <w:szCs w:val="24"/>
        </w:rPr>
      </w:pPr>
      <w:r w:rsidRPr="00AE5CD3">
        <w:rPr>
          <w:rFonts w:asciiTheme="majorHAnsi" w:hAnsiTheme="majorHAnsi"/>
          <w:sz w:val="24"/>
          <w:szCs w:val="24"/>
        </w:rPr>
        <w:t>пълнота на проектното предложение – на основа на Формуляра за кандидатстване се проверява дали са попълнени всички раздели, за които е указано, че са задължителни – са налице всички документи, представени и попълнени съгласно изискванията, посочени в Условията за кандидатстване; декларациите са попълнени по образец и подписани;</w:t>
      </w:r>
    </w:p>
    <w:p w:rsidR="005A1B22" w:rsidRPr="00AE5CD3" w:rsidRDefault="005A1B22" w:rsidP="008119B6">
      <w:pPr>
        <w:pStyle w:val="4"/>
        <w:pBdr>
          <w:top w:val="single" w:sz="4" w:space="1" w:color="auto"/>
          <w:left w:val="single" w:sz="4" w:space="4" w:color="auto"/>
          <w:bottom w:val="single" w:sz="4" w:space="1" w:color="auto"/>
          <w:right w:val="single" w:sz="4" w:space="4" w:color="auto"/>
        </w:pBdr>
        <w:tabs>
          <w:tab w:val="clear" w:pos="1209"/>
          <w:tab w:val="num" w:pos="284"/>
        </w:tabs>
        <w:spacing w:line="240" w:lineRule="auto"/>
        <w:ind w:left="284" w:hanging="284"/>
        <w:jc w:val="both"/>
        <w:rPr>
          <w:rFonts w:asciiTheme="majorHAnsi" w:hAnsiTheme="majorHAnsi"/>
          <w:sz w:val="24"/>
          <w:szCs w:val="24"/>
        </w:rPr>
      </w:pPr>
      <w:r w:rsidRPr="00AE5CD3">
        <w:rPr>
          <w:rFonts w:asciiTheme="majorHAnsi" w:hAnsiTheme="majorHAnsi"/>
          <w:sz w:val="24"/>
          <w:szCs w:val="24"/>
        </w:rPr>
        <w:t>на основа на Формуляра за кандидатстване и представените документи е налице съответствие на кандидатите и предвидените дейности с критериите за допустимост, посочени в Условията за кандидатства</w:t>
      </w:r>
      <w:r w:rsidR="00A223DD">
        <w:rPr>
          <w:rFonts w:asciiTheme="majorHAnsi" w:hAnsiTheme="majorHAnsi"/>
          <w:sz w:val="24"/>
          <w:szCs w:val="24"/>
        </w:rPr>
        <w:t>не</w:t>
      </w:r>
      <w:r w:rsidRPr="00AE5CD3">
        <w:rPr>
          <w:rFonts w:asciiTheme="majorHAnsi" w:hAnsiTheme="majorHAnsi"/>
          <w:sz w:val="24"/>
          <w:szCs w:val="24"/>
        </w:rPr>
        <w:t xml:space="preserve"> – продължителността на проекта е в рамките на максималната продължителност, съобразно изискванията на съответната процедура;</w:t>
      </w:r>
    </w:p>
    <w:p w:rsidR="005A1B22" w:rsidRPr="00AE5CD3" w:rsidRDefault="005A1B22" w:rsidP="003F2254">
      <w:pPr>
        <w:pStyle w:val="4"/>
        <w:pBdr>
          <w:top w:val="single" w:sz="4" w:space="1" w:color="auto"/>
          <w:left w:val="single" w:sz="4" w:space="4" w:color="auto"/>
          <w:bottom w:val="single" w:sz="4" w:space="1" w:color="auto"/>
          <w:right w:val="single" w:sz="4" w:space="4" w:color="auto"/>
        </w:pBdr>
        <w:tabs>
          <w:tab w:val="clear" w:pos="1209"/>
          <w:tab w:val="num" w:pos="284"/>
        </w:tabs>
        <w:spacing w:after="0" w:line="240" w:lineRule="auto"/>
        <w:ind w:left="284" w:hanging="284"/>
        <w:jc w:val="both"/>
        <w:rPr>
          <w:rFonts w:asciiTheme="majorHAnsi" w:hAnsiTheme="majorHAnsi"/>
          <w:sz w:val="24"/>
          <w:szCs w:val="24"/>
        </w:rPr>
      </w:pPr>
      <w:r w:rsidRPr="00AE5CD3">
        <w:rPr>
          <w:rFonts w:asciiTheme="majorHAnsi" w:hAnsiTheme="majorHAnsi"/>
          <w:sz w:val="24"/>
          <w:szCs w:val="24"/>
        </w:rPr>
        <w:t>други административни изисквания, определени в Условията за кандидатстване по съответната процедура.</w:t>
      </w:r>
    </w:p>
    <w:p w:rsidR="005A1B22" w:rsidRPr="00AE5CD3" w:rsidRDefault="005A1B22" w:rsidP="003F2254">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Оценката за административно съответствие и допустимостта се извършва най-малко от двама членове на комисията, като членовете, представляващи публичния сектор</w:t>
      </w:r>
      <w:r w:rsidRPr="00AE5CD3">
        <w:rPr>
          <w:rStyle w:val="ae"/>
          <w:rFonts w:asciiTheme="majorHAnsi" w:hAnsiTheme="majorHAnsi"/>
          <w:sz w:val="24"/>
          <w:szCs w:val="24"/>
        </w:rPr>
        <w:footnoteReference w:id="18"/>
      </w:r>
      <w:r w:rsidRPr="00AE5CD3">
        <w:rPr>
          <w:rFonts w:asciiTheme="majorHAnsi" w:hAnsiTheme="majorHAnsi"/>
          <w:sz w:val="24"/>
          <w:szCs w:val="24"/>
        </w:rPr>
        <w:t xml:space="preserve"> не трябва да са повече от 50%. Те могат да бъдат подпомагани от помощник-оценители.</w:t>
      </w:r>
    </w:p>
    <w:p w:rsidR="005A1B22" w:rsidRPr="00AE5CD3" w:rsidRDefault="005A1B22" w:rsidP="003F2254">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 xml:space="preserve">Когато при оценката се установи липса на документи и/или друга нередовност, комисията изпраща на кандидата уведомление за установените нередовности и определя разумен срок за тяхното отстраняване, който не може да бъде по-кратък от една седмица. Уведомлението съдържа и информация, че неотстраняването на </w:t>
      </w:r>
      <w:r w:rsidRPr="00AE5CD3">
        <w:rPr>
          <w:rFonts w:asciiTheme="majorHAnsi" w:hAnsiTheme="majorHAnsi"/>
          <w:sz w:val="24"/>
          <w:szCs w:val="24"/>
        </w:rPr>
        <w:lastRenderedPageBreak/>
        <w:t>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Само проектни предложения, преминали успешно оценка на административно съответствие и допустимост, подлежат на по-нататъшно разглеждане и оценка.</w:t>
      </w:r>
    </w:p>
    <w:p w:rsidR="005A1B22" w:rsidRPr="00AE5CD3" w:rsidRDefault="005A1B22" w:rsidP="008119B6">
      <w:pPr>
        <w:pStyle w:val="30"/>
        <w:spacing w:before="0" w:line="240" w:lineRule="auto"/>
        <w:rPr>
          <w:rFonts w:asciiTheme="majorHAnsi" w:hAnsiTheme="majorHAnsi"/>
          <w:sz w:val="24"/>
          <w:szCs w:val="24"/>
        </w:rPr>
      </w:pPr>
      <w:bookmarkStart w:id="127" w:name="_Toc476823163"/>
    </w:p>
    <w:p w:rsidR="005A1B22" w:rsidRPr="00AE5CD3" w:rsidRDefault="005A1B22" w:rsidP="008119B6">
      <w:pPr>
        <w:pStyle w:val="30"/>
        <w:spacing w:before="0" w:line="240" w:lineRule="auto"/>
        <w:rPr>
          <w:rFonts w:asciiTheme="majorHAnsi" w:hAnsiTheme="majorHAnsi"/>
          <w:sz w:val="26"/>
          <w:szCs w:val="26"/>
        </w:rPr>
      </w:pPr>
      <w:bookmarkStart w:id="128" w:name="_Toc514333720"/>
      <w:bookmarkStart w:id="129" w:name="_Toc514334560"/>
      <w:bookmarkStart w:id="130" w:name="_Toc514334652"/>
      <w:r w:rsidRPr="00AE5CD3">
        <w:rPr>
          <w:rFonts w:asciiTheme="majorHAnsi" w:hAnsiTheme="majorHAnsi"/>
          <w:sz w:val="26"/>
          <w:szCs w:val="26"/>
        </w:rPr>
        <w:t>21.2. Техническа и финансова оценка</w:t>
      </w:r>
      <w:bookmarkEnd w:id="127"/>
      <w:bookmarkEnd w:id="128"/>
      <w:bookmarkEnd w:id="129"/>
      <w:bookmarkEnd w:id="130"/>
    </w:p>
    <w:p w:rsidR="005A1B22" w:rsidRPr="00AE5CD3" w:rsidRDefault="005A1B22" w:rsidP="003F2254">
      <w:pPr>
        <w:pStyle w:val="23"/>
        <w:pBdr>
          <w:top w:val="single" w:sz="4" w:space="1" w:color="auto"/>
          <w:left w:val="single" w:sz="4" w:space="4" w:color="auto"/>
          <w:bottom w:val="single" w:sz="4" w:space="1" w:color="auto"/>
          <w:right w:val="single" w:sz="4" w:space="4" w:color="auto"/>
        </w:pBdr>
        <w:spacing w:line="240" w:lineRule="auto"/>
        <w:ind w:left="0" w:firstLine="709"/>
        <w:jc w:val="both"/>
        <w:rPr>
          <w:rFonts w:asciiTheme="majorHAnsi" w:hAnsiTheme="majorHAnsi"/>
          <w:sz w:val="24"/>
          <w:szCs w:val="24"/>
        </w:rPr>
      </w:pPr>
      <w:r w:rsidRPr="00AE5CD3">
        <w:rPr>
          <w:rFonts w:asciiTheme="majorHAnsi" w:hAnsiTheme="majorHAnsi"/>
          <w:sz w:val="24"/>
          <w:szCs w:val="24"/>
        </w:rPr>
        <w:t>Техническа</w:t>
      </w:r>
      <w:r w:rsidR="002265FD">
        <w:rPr>
          <w:rFonts w:asciiTheme="majorHAnsi" w:hAnsiTheme="majorHAnsi"/>
          <w:sz w:val="24"/>
          <w:szCs w:val="24"/>
        </w:rPr>
        <w:t>та</w:t>
      </w:r>
      <w:r w:rsidRPr="00AE5CD3">
        <w:rPr>
          <w:rFonts w:asciiTheme="majorHAnsi" w:hAnsiTheme="majorHAnsi"/>
          <w:sz w:val="24"/>
          <w:szCs w:val="24"/>
        </w:rPr>
        <w:t xml:space="preserve"> и финансова оценка е оценка по същество на проектните предложения и се извършва за всички проектни предложения, отговарящи на условията за съответствие на проектното предложение със </w:t>
      </w:r>
      <w:r w:rsidR="003F2254" w:rsidRPr="00AE5CD3">
        <w:rPr>
          <w:rFonts w:asciiTheme="majorHAnsi" w:hAnsiTheme="majorHAnsi"/>
          <w:sz w:val="24"/>
          <w:szCs w:val="24"/>
        </w:rPr>
        <w:t xml:space="preserve">Стратегията </w:t>
      </w:r>
      <w:r w:rsidRPr="00AE5CD3">
        <w:rPr>
          <w:rFonts w:asciiTheme="majorHAnsi" w:hAnsiTheme="majorHAnsi"/>
          <w:sz w:val="24"/>
          <w:szCs w:val="24"/>
        </w:rPr>
        <w:t xml:space="preserve">за местно развитие, съгласно документите по чл. 42, ал. 3 от ПМС 161 от 4 юли 2016 г. </w:t>
      </w:r>
    </w:p>
    <w:p w:rsidR="005A1B22" w:rsidRPr="00AE5CD3" w:rsidRDefault="005A1B22" w:rsidP="003F2254">
      <w:pPr>
        <w:pStyle w:val="23"/>
        <w:pBdr>
          <w:top w:val="single" w:sz="4" w:space="1" w:color="auto"/>
          <w:left w:val="single" w:sz="4" w:space="4" w:color="auto"/>
          <w:bottom w:val="single" w:sz="4" w:space="1" w:color="auto"/>
          <w:right w:val="single" w:sz="4" w:space="4" w:color="auto"/>
        </w:pBdr>
        <w:spacing w:line="240" w:lineRule="auto"/>
        <w:ind w:left="0" w:firstLine="567"/>
        <w:jc w:val="both"/>
        <w:rPr>
          <w:rFonts w:asciiTheme="majorHAnsi" w:hAnsiTheme="majorHAnsi"/>
          <w:sz w:val="24"/>
          <w:szCs w:val="24"/>
        </w:rPr>
      </w:pPr>
      <w:r w:rsidRPr="00AE5CD3">
        <w:rPr>
          <w:rFonts w:asciiTheme="majorHAnsi" w:hAnsiTheme="majorHAnsi"/>
          <w:sz w:val="24"/>
          <w:szCs w:val="24"/>
        </w:rPr>
        <w:t>Когато при оценката се установи липса на документи и/или друга нередовност, Комисията за подбор изпраща на кандидата уведомление за установените нередовности и определя разумен срок за тяхното отстраняване, който не може да бъде по-кратък от една седмица.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w:t>
      </w:r>
      <w:r w:rsidR="001B5E1E" w:rsidRPr="001B5E1E">
        <w:rPr>
          <w:rFonts w:asciiTheme="majorHAnsi" w:hAnsiTheme="majorHAnsi"/>
          <w:sz w:val="24"/>
          <w:szCs w:val="24"/>
          <w:lang w:val="ru-RU"/>
        </w:rPr>
        <w:t xml:space="preserve"> </w:t>
      </w:r>
      <w:r w:rsidRPr="00AE5CD3">
        <w:rPr>
          <w:rFonts w:asciiTheme="majorHAnsi" w:hAnsiTheme="majorHAnsi"/>
          <w:sz w:val="24"/>
          <w:szCs w:val="24"/>
          <w:u w:val="single"/>
        </w:rPr>
        <w:t>не</w:t>
      </w:r>
      <w:r w:rsidRPr="00AE5CD3">
        <w:rPr>
          <w:rFonts w:asciiTheme="majorHAnsi" w:hAnsiTheme="majorHAnsi"/>
          <w:sz w:val="24"/>
          <w:szCs w:val="24"/>
        </w:rPr>
        <w:t xml:space="preserve"> може да води до подобряване на качеството на проектното предложение.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 Всяка информация, предоставена извън официално изисканата от Комисията за подбор, не се взима под внимание. Исканията за представяне на допълнителни документи и разяснения се изпращат през ИСУН 2020 чрез електронния профил на кандидата, като кандидатът следва да бъде известяван електронно чрез електронния адрес, асоцииран към неговия профил. В тази връзка е необходимо кандидатите да разполагат винаги с достъп до електронния адрес, към който е асоцииран профила в ИСУН 2020. За дата на получаване на искането за документи/информация се счита датата на изпращането му чрез ИСУН 2020. Кандидатът представя допълнителните разяснения и/или документи по електронен път чрез ИСУН 2020. Тази възможност не може да води до подобряване на качеството на проектното предложение и до нарушаване на принципите по чл. 29, ал. 1, т. 1 и 2 от ЗУСЕСИФ.</w:t>
      </w:r>
    </w:p>
    <w:p w:rsidR="005A1B22" w:rsidRPr="00AE5CD3" w:rsidRDefault="005A1B22" w:rsidP="003F2254">
      <w:pPr>
        <w:pStyle w:val="23"/>
        <w:pBdr>
          <w:top w:val="single" w:sz="4" w:space="1" w:color="auto"/>
          <w:left w:val="single" w:sz="4" w:space="4" w:color="auto"/>
          <w:bottom w:val="single" w:sz="4" w:space="1" w:color="auto"/>
          <w:right w:val="single" w:sz="4" w:space="4" w:color="auto"/>
        </w:pBdr>
        <w:spacing w:line="240" w:lineRule="auto"/>
        <w:ind w:left="0" w:firstLine="567"/>
        <w:jc w:val="both"/>
        <w:rPr>
          <w:rFonts w:asciiTheme="majorHAnsi" w:hAnsiTheme="majorHAnsi"/>
          <w:sz w:val="24"/>
          <w:szCs w:val="24"/>
        </w:rPr>
      </w:pPr>
      <w:r w:rsidRPr="00AE5CD3">
        <w:rPr>
          <w:rFonts w:asciiTheme="majorHAnsi" w:hAnsiTheme="majorHAnsi"/>
          <w:sz w:val="24"/>
          <w:szCs w:val="24"/>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w:t>
      </w:r>
    </w:p>
    <w:p w:rsidR="005A1B22" w:rsidRPr="00AE5CD3" w:rsidRDefault="005A1B22" w:rsidP="003F2254">
      <w:pPr>
        <w:pStyle w:val="23"/>
        <w:pBdr>
          <w:top w:val="single" w:sz="4" w:space="1" w:color="auto"/>
          <w:left w:val="single" w:sz="4" w:space="4" w:color="auto"/>
          <w:bottom w:val="single" w:sz="4" w:space="1" w:color="auto"/>
          <w:right w:val="single" w:sz="4" w:space="4" w:color="auto"/>
        </w:pBdr>
        <w:spacing w:line="240" w:lineRule="auto"/>
        <w:ind w:left="0" w:firstLine="567"/>
        <w:jc w:val="both"/>
        <w:rPr>
          <w:rFonts w:asciiTheme="majorHAnsi" w:hAnsiTheme="majorHAnsi"/>
          <w:sz w:val="24"/>
          <w:szCs w:val="24"/>
        </w:rPr>
      </w:pPr>
      <w:r w:rsidRPr="00AE5CD3">
        <w:rPr>
          <w:rFonts w:asciiTheme="majorHAnsi" w:hAnsiTheme="majorHAnsi"/>
          <w:sz w:val="24"/>
          <w:szCs w:val="24"/>
        </w:rPr>
        <w:t xml:space="preserve">Критериите за техническа и финансова оценка на проектните предложения са обособени в раздели и подраздели и са задължителни при оценка на проектните предложения от Комисията за подбор. Сборът на точките от съответните подраздели дава точките на раздела като цяло. Така получените резултати за всеки раздел се сумират и формират крайния резултат от техническата и финансова оценка на проектното предложение. На основа на общия брой точки, проектните предложения се класират в низходящ ред. </w:t>
      </w:r>
    </w:p>
    <w:p w:rsidR="005A1B22" w:rsidRPr="00AE5CD3" w:rsidRDefault="005A1B22" w:rsidP="008119B6">
      <w:pPr>
        <w:pStyle w:val="23"/>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sz w:val="24"/>
          <w:szCs w:val="24"/>
        </w:rPr>
      </w:pPr>
      <w:r w:rsidRPr="00AE5CD3">
        <w:rPr>
          <w:rFonts w:asciiTheme="majorHAnsi" w:hAnsiTheme="majorHAnsi"/>
          <w:sz w:val="24"/>
          <w:szCs w:val="24"/>
        </w:rPr>
        <w:t>Ако общият процент получени точки за всеки един раздел е по-малко от 20 % от максималния брой точки за съответния раздел</w:t>
      </w:r>
      <w:r w:rsidR="00602BCC">
        <w:rPr>
          <w:rFonts w:asciiTheme="majorHAnsi" w:hAnsiTheme="majorHAnsi"/>
          <w:sz w:val="24"/>
          <w:szCs w:val="24"/>
        </w:rPr>
        <w:t xml:space="preserve">  или ако общия</w:t>
      </w:r>
      <w:r w:rsidR="00492711">
        <w:rPr>
          <w:rFonts w:asciiTheme="majorHAnsi" w:hAnsiTheme="majorHAnsi"/>
          <w:sz w:val="24"/>
          <w:szCs w:val="24"/>
        </w:rPr>
        <w:t>т</w:t>
      </w:r>
      <w:r w:rsidR="00602BCC">
        <w:rPr>
          <w:rFonts w:asciiTheme="majorHAnsi" w:hAnsiTheme="majorHAnsi"/>
          <w:sz w:val="24"/>
          <w:szCs w:val="24"/>
        </w:rPr>
        <w:t xml:space="preserve"> брой точки по всички раздели е по-малък от 30</w:t>
      </w:r>
      <w:r w:rsidRPr="00AE5CD3">
        <w:rPr>
          <w:rFonts w:asciiTheme="majorHAnsi" w:hAnsiTheme="majorHAnsi"/>
          <w:sz w:val="24"/>
          <w:szCs w:val="24"/>
        </w:rPr>
        <w:t xml:space="preserve">, проектното предложение се предлага за отхвърляне. </w:t>
      </w:r>
    </w:p>
    <w:p w:rsidR="005A1B22" w:rsidRDefault="005A1B22" w:rsidP="003F2254">
      <w:pPr>
        <w:pStyle w:val="23"/>
        <w:pBdr>
          <w:top w:val="single" w:sz="4" w:space="1" w:color="auto"/>
          <w:left w:val="single" w:sz="4" w:space="4" w:color="auto"/>
          <w:bottom w:val="single" w:sz="4" w:space="1" w:color="auto"/>
          <w:right w:val="single" w:sz="4" w:space="4" w:color="auto"/>
        </w:pBdr>
        <w:spacing w:line="240" w:lineRule="auto"/>
        <w:ind w:left="0" w:firstLine="709"/>
        <w:jc w:val="both"/>
        <w:rPr>
          <w:rFonts w:asciiTheme="majorHAnsi" w:hAnsiTheme="majorHAnsi"/>
          <w:sz w:val="24"/>
          <w:szCs w:val="24"/>
        </w:rPr>
      </w:pPr>
      <w:r w:rsidRPr="00AE5CD3">
        <w:rPr>
          <w:rFonts w:asciiTheme="majorHAnsi" w:hAnsiTheme="majorHAnsi"/>
          <w:sz w:val="24"/>
          <w:szCs w:val="24"/>
        </w:rPr>
        <w:t xml:space="preserve">Техническата и  финансова оценка на всяко проектно предложение се извършва най-малко от двама членове на комисията, като членовете, представляващи публичния сектор не трябва да са повече от 50%. Те могат да бъдат подпомагани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w:t>
      </w:r>
      <w:r w:rsidRPr="00AE5CD3">
        <w:rPr>
          <w:rFonts w:asciiTheme="majorHAnsi" w:hAnsiTheme="majorHAnsi"/>
          <w:sz w:val="24"/>
          <w:szCs w:val="24"/>
        </w:rPr>
        <w:lastRenderedPageBreak/>
        <w:t>възможна оценка</w:t>
      </w:r>
      <w:r w:rsidR="00602BCC">
        <w:rPr>
          <w:rFonts w:asciiTheme="majorHAnsi" w:hAnsiTheme="majorHAnsi"/>
          <w:sz w:val="24"/>
          <w:szCs w:val="24"/>
        </w:rPr>
        <w:t>, П</w:t>
      </w:r>
      <w:r w:rsidRPr="00AE5CD3">
        <w:rPr>
          <w:rFonts w:asciiTheme="majorHAnsi" w:hAnsiTheme="majorHAnsi"/>
          <w:sz w:val="24"/>
          <w:szCs w:val="24"/>
        </w:rPr>
        <w:t>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025E18" w:rsidRPr="007F1F68" w:rsidRDefault="00003A9F" w:rsidP="007F1F68">
      <w:pPr>
        <w:pBdr>
          <w:top w:val="single" w:sz="4" w:space="1" w:color="auto"/>
          <w:left w:val="single" w:sz="4" w:space="4" w:color="auto"/>
          <w:bottom w:val="single" w:sz="4" w:space="1" w:color="auto"/>
          <w:right w:val="single" w:sz="4" w:space="4" w:color="auto"/>
        </w:pBdr>
        <w:spacing w:after="60" w:line="240" w:lineRule="auto"/>
        <w:ind w:firstLine="708"/>
        <w:contextualSpacing/>
        <w:jc w:val="both"/>
        <w:rPr>
          <w:rFonts w:asciiTheme="majorHAnsi" w:eastAsia="Calibri" w:hAnsiTheme="majorHAnsi" w:cs="Times New Roman"/>
          <w:sz w:val="24"/>
          <w:szCs w:val="24"/>
        </w:rPr>
      </w:pPr>
      <w:r w:rsidRPr="007F1F68">
        <w:rPr>
          <w:rFonts w:asciiTheme="majorHAnsi" w:eastAsia="Calibri" w:hAnsiTheme="majorHAnsi" w:cs="Times New Roman"/>
          <w:sz w:val="24"/>
          <w:szCs w:val="24"/>
        </w:rPr>
        <w:t xml:space="preserve">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 </w:t>
      </w:r>
    </w:p>
    <w:p w:rsidR="007F1F68" w:rsidRPr="007F1F68" w:rsidRDefault="00003A9F" w:rsidP="007F1F68">
      <w:pPr>
        <w:pBdr>
          <w:top w:val="single" w:sz="4" w:space="1" w:color="auto"/>
          <w:left w:val="single" w:sz="4" w:space="4" w:color="auto"/>
          <w:bottom w:val="single" w:sz="4" w:space="1" w:color="auto"/>
          <w:right w:val="single" w:sz="4" w:space="4" w:color="auto"/>
        </w:pBdr>
        <w:spacing w:after="60" w:line="240" w:lineRule="auto"/>
        <w:ind w:firstLine="708"/>
        <w:contextualSpacing/>
        <w:jc w:val="both"/>
        <w:rPr>
          <w:rFonts w:asciiTheme="majorHAnsi" w:eastAsia="Calibri" w:hAnsiTheme="majorHAnsi" w:cs="Times New Roman"/>
          <w:sz w:val="24"/>
          <w:szCs w:val="24"/>
        </w:rPr>
      </w:pPr>
      <w:r w:rsidRPr="007F1F68">
        <w:rPr>
          <w:rFonts w:asciiTheme="majorHAnsi" w:eastAsia="Calibri" w:hAnsiTheme="majorHAnsi" w:cs="Times New Roman"/>
          <w:sz w:val="24"/>
          <w:szCs w:val="24"/>
        </w:rPr>
        <w:t>При оценката на проектните предложения комисията може да изисква допълнителна пояснителна информация от кандидата, като срокът за представянето й не може да бъде по-кратък от една седмица. Тази възможност не може да води до подобряване на качеството на проектното предложение и до нарушаване на принципите по чл. 29, ал. 1, т. 1 и 2 от ЗУСЕСИФ.</w:t>
      </w:r>
      <w:r w:rsidR="00EA0BA5" w:rsidRPr="007F1F68">
        <w:rPr>
          <w:rFonts w:asciiTheme="majorHAnsi" w:eastAsia="Calibri" w:hAnsiTheme="majorHAnsi" w:cs="Times New Roman"/>
          <w:sz w:val="24"/>
          <w:szCs w:val="24"/>
        </w:rPr>
        <w:tab/>
      </w:r>
    </w:p>
    <w:p w:rsidR="00025E18" w:rsidRDefault="005A1B22" w:rsidP="007F1F68">
      <w:pPr>
        <w:pBdr>
          <w:top w:val="single" w:sz="4" w:space="1" w:color="auto"/>
          <w:left w:val="single" w:sz="4" w:space="4" w:color="auto"/>
          <w:bottom w:val="single" w:sz="4" w:space="1" w:color="auto"/>
          <w:right w:val="single" w:sz="4" w:space="4" w:color="auto"/>
        </w:pBdr>
        <w:spacing w:after="60" w:line="240" w:lineRule="auto"/>
        <w:ind w:firstLine="708"/>
        <w:contextualSpacing/>
        <w:jc w:val="both"/>
        <w:rPr>
          <w:rFonts w:asciiTheme="majorHAnsi" w:hAnsiTheme="majorHAnsi"/>
          <w:sz w:val="24"/>
          <w:szCs w:val="24"/>
        </w:rPr>
      </w:pPr>
      <w:r w:rsidRPr="007F1F68">
        <w:rPr>
          <w:rFonts w:asciiTheme="majorHAnsi" w:eastAsia="Calibri" w:hAnsiTheme="majorHAnsi" w:cs="Times New Roman"/>
          <w:sz w:val="24"/>
          <w:szCs w:val="24"/>
        </w:rPr>
        <w:t>Техническата и финансовата оценка</w:t>
      </w:r>
      <w:r w:rsidRPr="00AE5CD3">
        <w:rPr>
          <w:rFonts w:asciiTheme="majorHAnsi" w:hAnsiTheme="majorHAnsi"/>
          <w:sz w:val="24"/>
          <w:szCs w:val="24"/>
        </w:rPr>
        <w:t xml:space="preserve"> на проектните предложения </w:t>
      </w:r>
      <w:r w:rsidRPr="00AE5CD3">
        <w:rPr>
          <w:rFonts w:asciiTheme="majorHAnsi" w:hAnsiTheme="majorHAnsi"/>
          <w:sz w:val="24"/>
          <w:szCs w:val="24"/>
          <w:u w:val="single"/>
        </w:rPr>
        <w:t>включва и оценка на реалистичността, ефективността и допустимостта</w:t>
      </w:r>
      <w:r w:rsidRPr="00AE5CD3">
        <w:rPr>
          <w:rFonts w:asciiTheme="majorHAnsi" w:hAnsiTheme="majorHAnsi"/>
          <w:sz w:val="24"/>
          <w:szCs w:val="24"/>
        </w:rPr>
        <w:t xml:space="preserve"> на всички предвидени дейности и разходи. В случай, че в процеса на техническа и финансова оценка Комисията за подбор установи наличието на обстоятелства като включени в проектното предложение недопустими дейности, недопустими и/или нереалистични разходи, дублиране на заложени дейности и/или разходи и др., бюджетът на проектното предложение се променя (т. 5 от Формуляра за кандидатстване). Следва да се има предвид, че промените в бюджета не могат да доведат до увеличаване на размера на безвъзмездната финансова помощ. </w:t>
      </w:r>
    </w:p>
    <w:p w:rsidR="005A1B22" w:rsidRPr="00AE5CD3" w:rsidRDefault="005A1B22" w:rsidP="003F2254">
      <w:pPr>
        <w:pStyle w:val="23"/>
        <w:pBdr>
          <w:top w:val="single" w:sz="4" w:space="1" w:color="auto"/>
          <w:left w:val="single" w:sz="4" w:space="4" w:color="auto"/>
          <w:bottom w:val="single" w:sz="4" w:space="1" w:color="auto"/>
          <w:right w:val="single" w:sz="4" w:space="4" w:color="auto"/>
        </w:pBdr>
        <w:spacing w:line="240" w:lineRule="auto"/>
        <w:ind w:left="0" w:firstLine="709"/>
        <w:jc w:val="both"/>
        <w:rPr>
          <w:rFonts w:asciiTheme="majorHAnsi" w:hAnsiTheme="majorHAnsi"/>
          <w:sz w:val="24"/>
          <w:szCs w:val="24"/>
        </w:rPr>
      </w:pPr>
      <w:r w:rsidRPr="00AE5CD3">
        <w:rPr>
          <w:rFonts w:asciiTheme="majorHAnsi" w:hAnsiTheme="majorHAnsi"/>
          <w:sz w:val="24"/>
          <w:szCs w:val="24"/>
        </w:rPr>
        <w:t xml:space="preserve">По време на оценката Комисията за подбор </w:t>
      </w:r>
      <w:r w:rsidRPr="00AE5CD3">
        <w:rPr>
          <w:rFonts w:asciiTheme="majorHAnsi" w:hAnsiTheme="majorHAnsi"/>
          <w:sz w:val="24"/>
          <w:szCs w:val="24"/>
          <w:u w:val="single"/>
        </w:rPr>
        <w:t xml:space="preserve">проверява предложените индикативни цени </w:t>
      </w:r>
      <w:r w:rsidRPr="00AE5CD3">
        <w:rPr>
          <w:rFonts w:asciiTheme="majorHAnsi" w:hAnsiTheme="majorHAnsi"/>
          <w:sz w:val="24"/>
          <w:szCs w:val="24"/>
        </w:rPr>
        <w:t xml:space="preserve">за инвестиции в активи по отношение на реалистичност спрямо посочените цени в приложените оферти. В случай че по време на финансовата оценка се установи надвишаване на интензитета на безвъзмездната финансова помощ и/или максималния размер на безвъзмездната финансова помощ и/или максималният размер за извършване на дадена дейност, определени в Условията за кандидатстване, Комисията за подбор служебно го намалява до максимално допустимия интензитет и/или размер. </w:t>
      </w:r>
    </w:p>
    <w:p w:rsidR="005A1B22" w:rsidRPr="00AE5CD3" w:rsidRDefault="005A1B22" w:rsidP="003F2254">
      <w:pPr>
        <w:pStyle w:val="23"/>
        <w:pBdr>
          <w:top w:val="single" w:sz="4" w:space="1" w:color="auto"/>
          <w:left w:val="single" w:sz="4" w:space="4" w:color="auto"/>
          <w:bottom w:val="single" w:sz="4" w:space="1" w:color="auto"/>
          <w:right w:val="single" w:sz="4" w:space="4" w:color="auto"/>
        </w:pBdr>
        <w:spacing w:line="240" w:lineRule="auto"/>
        <w:ind w:left="0" w:firstLine="709"/>
        <w:jc w:val="both"/>
        <w:rPr>
          <w:rFonts w:asciiTheme="majorHAnsi" w:hAnsiTheme="majorHAnsi"/>
          <w:sz w:val="24"/>
          <w:szCs w:val="24"/>
        </w:rPr>
      </w:pPr>
      <w:r w:rsidRPr="00AE5CD3">
        <w:rPr>
          <w:rFonts w:asciiTheme="majorHAnsi" w:hAnsiTheme="majorHAnsi"/>
          <w:sz w:val="24"/>
          <w:szCs w:val="24"/>
        </w:rPr>
        <w:t xml:space="preserve">В случай че по време на финансовата оценка се установи </w:t>
      </w:r>
      <w:r w:rsidRPr="00AE5CD3">
        <w:rPr>
          <w:rFonts w:asciiTheme="majorHAnsi" w:hAnsiTheme="majorHAnsi"/>
          <w:sz w:val="24"/>
          <w:szCs w:val="24"/>
          <w:u w:val="single"/>
        </w:rPr>
        <w:t>наличие на недопустими разходи</w:t>
      </w:r>
      <w:r w:rsidRPr="00AE5CD3">
        <w:rPr>
          <w:rFonts w:asciiTheme="majorHAnsi" w:hAnsiTheme="majorHAnsi"/>
          <w:sz w:val="24"/>
          <w:szCs w:val="24"/>
        </w:rPr>
        <w:t xml:space="preserve"> или на разходи, които не са съпоставими с пазарните цени за аналогични активи, Комисията за подбор служебно </w:t>
      </w:r>
      <w:r w:rsidR="00F037F5">
        <w:rPr>
          <w:rFonts w:asciiTheme="majorHAnsi" w:hAnsiTheme="majorHAnsi"/>
          <w:sz w:val="24"/>
          <w:szCs w:val="24"/>
        </w:rPr>
        <w:t>премахва</w:t>
      </w:r>
      <w:r w:rsidRPr="00AE5CD3">
        <w:rPr>
          <w:rFonts w:asciiTheme="majorHAnsi" w:hAnsiTheme="majorHAnsi"/>
          <w:sz w:val="24"/>
          <w:szCs w:val="24"/>
        </w:rPr>
        <w:t>/</w:t>
      </w:r>
      <w:r w:rsidR="00F037F5">
        <w:rPr>
          <w:rFonts w:asciiTheme="majorHAnsi" w:hAnsiTheme="majorHAnsi"/>
          <w:sz w:val="24"/>
          <w:szCs w:val="24"/>
        </w:rPr>
        <w:t>коригира</w:t>
      </w:r>
      <w:r w:rsidRPr="00AE5CD3">
        <w:rPr>
          <w:rFonts w:asciiTheme="majorHAnsi" w:hAnsiTheme="majorHAnsi"/>
          <w:sz w:val="24"/>
          <w:szCs w:val="24"/>
        </w:rPr>
        <w:t xml:space="preserve"> съответните разходи от бюджета на проекта (т. 5 от Формуляра за кандидатстване). </w:t>
      </w:r>
    </w:p>
    <w:p w:rsidR="005A1B22" w:rsidRPr="00AE5CD3" w:rsidRDefault="005A1B22" w:rsidP="003F2254">
      <w:pPr>
        <w:pStyle w:val="23"/>
        <w:pBdr>
          <w:top w:val="single" w:sz="4" w:space="1" w:color="auto"/>
          <w:left w:val="single" w:sz="4" w:space="4" w:color="auto"/>
          <w:bottom w:val="single" w:sz="4" w:space="1" w:color="auto"/>
          <w:right w:val="single" w:sz="4" w:space="4" w:color="auto"/>
        </w:pBdr>
        <w:spacing w:line="240" w:lineRule="auto"/>
        <w:ind w:left="0" w:firstLine="709"/>
        <w:jc w:val="both"/>
        <w:rPr>
          <w:rFonts w:asciiTheme="majorHAnsi" w:hAnsiTheme="majorHAnsi"/>
          <w:sz w:val="24"/>
          <w:szCs w:val="24"/>
        </w:rPr>
      </w:pPr>
      <w:r w:rsidRPr="00AE5CD3">
        <w:rPr>
          <w:rFonts w:asciiTheme="majorHAnsi" w:hAnsiTheme="majorHAnsi"/>
          <w:sz w:val="24"/>
          <w:szCs w:val="24"/>
        </w:rPr>
        <w:t xml:space="preserve">Корекциите в бюджета са финалния етап от техническа и финансова оценка на проектните предложения. Корекции в бюджета при несъответствие между предвидените дейности (описани в т. 7 от Формуляра за кандидатстване) и видовете заложени разходи (описани в т. 5 от Формуляра за кандидатстване), както и при дублиране на разходи, ще се извършва след като се изиска допълнителна пояснителна информация от кандидата. Извършените корекции на данни в бюджета не могат да водят до: увеличаване на размера или на интензитета на безвъзмездната финансова помощ, предвидени в подаденото проектно предложение; невъзможност за изпълнение на целите на проекта или на проектните дейности; подобряване на качеството на проектното предложение; нарушаване на принципите по чл. 29, ал. 1, т. 1 и 2 от ЗУСЕСИФ. </w:t>
      </w:r>
    </w:p>
    <w:p w:rsidR="005A1B22" w:rsidRPr="00AE5CD3" w:rsidRDefault="005A1B22" w:rsidP="008119B6">
      <w:pPr>
        <w:pStyle w:val="23"/>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sz w:val="24"/>
          <w:szCs w:val="24"/>
        </w:rPr>
      </w:pPr>
      <w:r w:rsidRPr="00AE5CD3">
        <w:rPr>
          <w:rFonts w:asciiTheme="majorHAnsi" w:hAnsiTheme="majorHAnsi"/>
          <w:sz w:val="24"/>
          <w:szCs w:val="24"/>
        </w:rPr>
        <w:t xml:space="preserve">Оценителната комисия може да извършва корекции в бюджета на проектно предложение, в случай че при оценката се установи: </w:t>
      </w:r>
    </w:p>
    <w:p w:rsidR="005A1B22" w:rsidRPr="00AE5CD3" w:rsidRDefault="005A1B22" w:rsidP="008119B6">
      <w:pPr>
        <w:pStyle w:val="23"/>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sz w:val="24"/>
          <w:szCs w:val="24"/>
        </w:rPr>
      </w:pPr>
      <w:r w:rsidRPr="00AE5CD3">
        <w:rPr>
          <w:rFonts w:asciiTheme="majorHAnsi" w:hAnsiTheme="majorHAnsi"/>
          <w:sz w:val="24"/>
          <w:szCs w:val="24"/>
        </w:rPr>
        <w:lastRenderedPageBreak/>
        <w:t>1.</w:t>
      </w:r>
      <w:r w:rsidRPr="00AE5CD3">
        <w:rPr>
          <w:rFonts w:asciiTheme="majorHAnsi" w:hAnsiTheme="majorHAnsi"/>
          <w:sz w:val="24"/>
          <w:szCs w:val="24"/>
        </w:rPr>
        <w:tab/>
        <w:t xml:space="preserve">наличие на недопустими дейности и/или разходи; </w:t>
      </w:r>
    </w:p>
    <w:p w:rsidR="005A1B22" w:rsidRPr="00AE5CD3" w:rsidRDefault="005A1B22" w:rsidP="008119B6">
      <w:pPr>
        <w:pStyle w:val="23"/>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sz w:val="24"/>
          <w:szCs w:val="24"/>
        </w:rPr>
      </w:pPr>
      <w:r w:rsidRPr="00AE5CD3">
        <w:rPr>
          <w:rFonts w:asciiTheme="majorHAnsi" w:hAnsiTheme="majorHAnsi"/>
          <w:sz w:val="24"/>
          <w:szCs w:val="24"/>
        </w:rPr>
        <w:t>2.</w:t>
      </w:r>
      <w:r w:rsidRPr="00AE5CD3">
        <w:rPr>
          <w:rFonts w:asciiTheme="majorHAnsi" w:hAnsiTheme="majorHAnsi"/>
          <w:sz w:val="24"/>
          <w:szCs w:val="24"/>
        </w:rPr>
        <w:tab/>
        <w:t xml:space="preserve">несъответствие между предвидените дейности и видовете заложени разходи; </w:t>
      </w:r>
    </w:p>
    <w:p w:rsidR="005A1B22" w:rsidRPr="00AE5CD3" w:rsidRDefault="005A1B22" w:rsidP="008119B6">
      <w:pPr>
        <w:pStyle w:val="23"/>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sz w:val="24"/>
          <w:szCs w:val="24"/>
        </w:rPr>
      </w:pPr>
      <w:r w:rsidRPr="00AE5CD3">
        <w:rPr>
          <w:rFonts w:asciiTheme="majorHAnsi" w:hAnsiTheme="majorHAnsi"/>
          <w:sz w:val="24"/>
          <w:szCs w:val="24"/>
        </w:rPr>
        <w:t>3.</w:t>
      </w:r>
      <w:r w:rsidRPr="00AE5CD3">
        <w:rPr>
          <w:rFonts w:asciiTheme="majorHAnsi" w:hAnsiTheme="majorHAnsi"/>
          <w:sz w:val="24"/>
          <w:szCs w:val="24"/>
        </w:rPr>
        <w:tab/>
        <w:t xml:space="preserve">дублиране на разходи; </w:t>
      </w:r>
    </w:p>
    <w:p w:rsidR="005A1B22" w:rsidRPr="00AE5CD3" w:rsidRDefault="005A1B22" w:rsidP="008119B6">
      <w:pPr>
        <w:pStyle w:val="23"/>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sz w:val="24"/>
          <w:szCs w:val="24"/>
        </w:rPr>
      </w:pPr>
      <w:r w:rsidRPr="00AE5CD3">
        <w:rPr>
          <w:rFonts w:asciiTheme="majorHAnsi" w:hAnsiTheme="majorHAnsi"/>
          <w:sz w:val="24"/>
          <w:szCs w:val="24"/>
        </w:rPr>
        <w:t>4.</w:t>
      </w:r>
      <w:r w:rsidRPr="00AE5CD3">
        <w:rPr>
          <w:rFonts w:asciiTheme="majorHAnsi" w:hAnsiTheme="majorHAnsi"/>
          <w:sz w:val="24"/>
          <w:szCs w:val="24"/>
        </w:rPr>
        <w:tab/>
        <w:t xml:space="preserve">неспазване на заложените в Насоките за кандидатстване правила или ограничения по отношение на заложени процентни съотношения/прагове на разходите; </w:t>
      </w:r>
    </w:p>
    <w:p w:rsidR="005A1B22" w:rsidRPr="00AE5CD3" w:rsidRDefault="005A1B22" w:rsidP="008119B6">
      <w:pPr>
        <w:pStyle w:val="23"/>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sz w:val="24"/>
          <w:szCs w:val="24"/>
        </w:rPr>
      </w:pPr>
      <w:r w:rsidRPr="00AE5CD3">
        <w:rPr>
          <w:rFonts w:asciiTheme="majorHAnsi" w:hAnsiTheme="majorHAnsi"/>
          <w:sz w:val="24"/>
          <w:szCs w:val="24"/>
        </w:rPr>
        <w:t>5.</w:t>
      </w:r>
      <w:r w:rsidRPr="00AE5CD3">
        <w:rPr>
          <w:rFonts w:asciiTheme="majorHAnsi" w:hAnsiTheme="majorHAnsi"/>
          <w:sz w:val="24"/>
          <w:szCs w:val="24"/>
        </w:rPr>
        <w:tab/>
        <w:t xml:space="preserve">несъответствие с правилата за минималните помощи. </w:t>
      </w:r>
    </w:p>
    <w:p w:rsidR="005A1B22" w:rsidRPr="00AE5CD3" w:rsidRDefault="005A1B22" w:rsidP="008119B6">
      <w:pPr>
        <w:pStyle w:val="23"/>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sz w:val="24"/>
          <w:szCs w:val="24"/>
        </w:rPr>
      </w:pPr>
      <w:r w:rsidRPr="00AE5CD3">
        <w:rPr>
          <w:rFonts w:asciiTheme="majorHAnsi" w:hAnsiTheme="majorHAnsi"/>
          <w:sz w:val="24"/>
          <w:szCs w:val="24"/>
        </w:rPr>
        <w:t xml:space="preserve">Направените корекциите не могат да водят до: </w:t>
      </w:r>
    </w:p>
    <w:p w:rsidR="005A1B22" w:rsidRPr="00AE5CD3" w:rsidRDefault="005A1B22" w:rsidP="008119B6">
      <w:pPr>
        <w:pStyle w:val="23"/>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sz w:val="24"/>
          <w:szCs w:val="24"/>
        </w:rPr>
      </w:pPr>
      <w:r w:rsidRPr="00AE5CD3">
        <w:rPr>
          <w:rFonts w:asciiTheme="majorHAnsi" w:hAnsiTheme="majorHAnsi"/>
          <w:sz w:val="24"/>
          <w:szCs w:val="24"/>
        </w:rPr>
        <w:t>1.</w:t>
      </w:r>
      <w:r w:rsidRPr="00AE5CD3">
        <w:rPr>
          <w:rFonts w:asciiTheme="majorHAnsi" w:hAnsiTheme="majorHAnsi"/>
          <w:sz w:val="24"/>
          <w:szCs w:val="24"/>
        </w:rPr>
        <w:tab/>
        <w:t xml:space="preserve">увеличаване на размера или на интензитета на безвъзмездната финансова помощ, предвидени в подаденото проектно предложение; </w:t>
      </w:r>
    </w:p>
    <w:p w:rsidR="005A1B22" w:rsidRPr="00AE5CD3" w:rsidRDefault="005A1B22" w:rsidP="008119B6">
      <w:pPr>
        <w:pStyle w:val="23"/>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sz w:val="24"/>
          <w:szCs w:val="24"/>
        </w:rPr>
      </w:pPr>
      <w:r w:rsidRPr="00AE5CD3">
        <w:rPr>
          <w:rFonts w:asciiTheme="majorHAnsi" w:hAnsiTheme="majorHAnsi"/>
          <w:sz w:val="24"/>
          <w:szCs w:val="24"/>
        </w:rPr>
        <w:t>2.</w:t>
      </w:r>
      <w:r w:rsidRPr="00AE5CD3">
        <w:rPr>
          <w:rFonts w:asciiTheme="majorHAnsi" w:hAnsiTheme="majorHAnsi"/>
          <w:sz w:val="24"/>
          <w:szCs w:val="24"/>
        </w:rPr>
        <w:tab/>
        <w:t xml:space="preserve">подобряване на качеството на проектното предложение и нарушаване на принципите по чл. 29, ал. 1, т. 1 и 2 ЗУСЕСИФ. </w:t>
      </w:r>
    </w:p>
    <w:p w:rsidR="005A1B22" w:rsidRPr="00AE5CD3" w:rsidRDefault="005A1B22" w:rsidP="008119B6">
      <w:pPr>
        <w:pStyle w:val="23"/>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b/>
          <w:color w:val="000000"/>
          <w:sz w:val="24"/>
          <w:szCs w:val="24"/>
          <w:u w:val="single"/>
        </w:rPr>
      </w:pPr>
      <w:r w:rsidRPr="00AE5CD3">
        <w:rPr>
          <w:rFonts w:asciiTheme="majorHAnsi" w:hAnsiTheme="majorHAnsi"/>
          <w:b/>
          <w:color w:val="000000"/>
          <w:sz w:val="24"/>
          <w:szCs w:val="24"/>
          <w:u w:val="single"/>
        </w:rPr>
        <w:t>Комисията задължително извършва проверка за наличие/липса на двойно финансиране.</w:t>
      </w:r>
    </w:p>
    <w:p w:rsidR="005A1B22" w:rsidRPr="00AE5CD3" w:rsidRDefault="005A1B22" w:rsidP="008119B6">
      <w:pPr>
        <w:pStyle w:val="23"/>
        <w:pBdr>
          <w:top w:val="single" w:sz="4" w:space="1" w:color="auto"/>
          <w:left w:val="single" w:sz="4" w:space="4" w:color="auto"/>
          <w:bottom w:val="single" w:sz="4" w:space="1" w:color="auto"/>
          <w:right w:val="single" w:sz="4" w:space="4" w:color="auto"/>
        </w:pBdr>
        <w:spacing w:line="240" w:lineRule="auto"/>
        <w:ind w:left="0"/>
        <w:jc w:val="both"/>
        <w:rPr>
          <w:rFonts w:asciiTheme="majorHAnsi" w:hAnsiTheme="majorHAnsi"/>
          <w:sz w:val="24"/>
          <w:szCs w:val="24"/>
        </w:rPr>
      </w:pPr>
      <w:r w:rsidRPr="00AE5CD3">
        <w:rPr>
          <w:rFonts w:asciiTheme="majorHAnsi" w:hAnsiTheme="majorHAnsi"/>
          <w:b/>
          <w:sz w:val="24"/>
          <w:szCs w:val="24"/>
        </w:rPr>
        <w:t>ВАЖНО:</w:t>
      </w:r>
      <w:r w:rsidRPr="00AE5CD3">
        <w:rPr>
          <w:rFonts w:asciiTheme="majorHAnsi" w:hAnsiTheme="majorHAnsi"/>
          <w:sz w:val="24"/>
          <w:szCs w:val="24"/>
        </w:rPr>
        <w:t xml:space="preserve"> Бенефициентите, които не се явяват възложители по ЗОП, прилагат Глава четвърта от ЗУСЕСИФ за условията и реда за определяне на изпълнител от страна на бенефициенти на безвъзмездна финансова помощ и ПМС № 160 от 1 юли 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 Бенефициентите, които се явяват възложители по смисъла на ЗОП, прилагат Закона за обществените поръчки и актовете по неговото прилагане. </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Кандидатите следва да съобразят, че съгласно посоченото национално законодателство, редът за провеждане на процедурите за определяне на изпълнител/и се определя на основа на стойността и предмета на услугата или доставката, независимо в кой раздел или перо на бюджета са предвидени съответните разходи. Не се допуска разделяне на предмета на услугата или доставката с цел заобикаляне прилагането на посочените нормативни актове. Кандидатът носи цялата отговорност за верността на финансовата информация, представена в т. 5 „Бюджет“ от Формуляра за кандидатстване.</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 xml:space="preserve">Проектното предложение се отхвърля когато: </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 xml:space="preserve">предложението е непълно или не отговаря в други отношения на поставените условия за административно съответствие; </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 xml:space="preserve">кандидатът не отговаря на условията за допустимост; </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 xml:space="preserve">проектът не отговаря на условията за допустимост; </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 xml:space="preserve">не са спазени други критерии, посочени в документите за кандидатстване по чл. 26, ал. 1 на ЗУСЕСИФ и/или в приложими нормативни документи; </w:t>
      </w:r>
    </w:p>
    <w:p w:rsidR="005A1B22" w:rsidRPr="00AE5CD3" w:rsidRDefault="005A1B22" w:rsidP="008119B6">
      <w:pPr>
        <w:pStyle w:val="a"/>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sz w:val="24"/>
          <w:szCs w:val="24"/>
        </w:rPr>
      </w:pPr>
      <w:r w:rsidRPr="00AE5CD3">
        <w:rPr>
          <w:rFonts w:asciiTheme="majorHAnsi" w:hAnsiTheme="majorHAnsi"/>
          <w:sz w:val="24"/>
          <w:szCs w:val="24"/>
        </w:rPr>
        <w:t xml:space="preserve">кандидатът умишлено е представил невярна информация с цел получаване на безвъзмездна помощ или не са представили изискваната задължителна информация съгласно Условията за кандидатстване. </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jc w:val="both"/>
        <w:rPr>
          <w:rFonts w:asciiTheme="majorHAnsi" w:hAnsiTheme="majorHAnsi"/>
          <w:lang w:val="bg-BG"/>
        </w:rPr>
      </w:pPr>
      <w:r w:rsidRPr="00AE5CD3">
        <w:rPr>
          <w:rFonts w:asciiTheme="majorHAnsi" w:hAnsiTheme="majorHAnsi"/>
          <w:lang w:val="bg-BG"/>
        </w:rPr>
        <w:t>Работата на Комисията за подбор приключва с оценителен доклад до Ръководителя на Управляващия орган на ОПИК.</w:t>
      </w:r>
    </w:p>
    <w:p w:rsidR="005A1B22" w:rsidRPr="00AE5CD3" w:rsidRDefault="005A1B22" w:rsidP="008119B6">
      <w:pPr>
        <w:pStyle w:val="20"/>
        <w:spacing w:before="0" w:line="240" w:lineRule="auto"/>
        <w:rPr>
          <w:rFonts w:asciiTheme="majorHAnsi" w:hAnsiTheme="majorHAnsi"/>
          <w:sz w:val="28"/>
          <w:szCs w:val="28"/>
        </w:rPr>
      </w:pPr>
      <w:bookmarkStart w:id="131" w:name="_Toc476823164"/>
    </w:p>
    <w:p w:rsidR="005A1B22" w:rsidRPr="00AE5CD3" w:rsidRDefault="005A1B22" w:rsidP="008119B6">
      <w:pPr>
        <w:pStyle w:val="20"/>
        <w:spacing w:before="0" w:line="240" w:lineRule="auto"/>
        <w:rPr>
          <w:rFonts w:asciiTheme="majorHAnsi" w:hAnsiTheme="majorHAnsi"/>
        </w:rPr>
      </w:pPr>
      <w:bookmarkStart w:id="132" w:name="_Toc514333721"/>
      <w:bookmarkStart w:id="133" w:name="_Toc514334561"/>
      <w:bookmarkStart w:id="134" w:name="_Toc514334653"/>
      <w:r w:rsidRPr="00AE5CD3">
        <w:rPr>
          <w:rFonts w:asciiTheme="majorHAnsi" w:hAnsiTheme="majorHAnsi"/>
        </w:rPr>
        <w:t>22. Критерии и методика за оценка на проектните предложения</w:t>
      </w:r>
      <w:bookmarkEnd w:id="131"/>
      <w:bookmarkEnd w:id="132"/>
      <w:bookmarkEnd w:id="133"/>
      <w:bookmarkEnd w:id="134"/>
    </w:p>
    <w:tbl>
      <w:tblPr>
        <w:tblW w:w="503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30"/>
        <w:gridCol w:w="1290"/>
      </w:tblGrid>
      <w:tr w:rsidR="005A1B22" w:rsidRPr="00AE5CD3" w:rsidTr="00602BCC">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602BCC" w:rsidP="008119B6">
            <w:pPr>
              <w:spacing w:after="0" w:line="240" w:lineRule="auto"/>
              <w:jc w:val="both"/>
              <w:rPr>
                <w:rFonts w:asciiTheme="majorHAnsi" w:eastAsia="Times New Roman" w:hAnsiTheme="majorHAnsi"/>
                <w:b/>
                <w:bCs/>
                <w:sz w:val="24"/>
                <w:szCs w:val="24"/>
                <w:lang w:eastAsia="pl-PL"/>
              </w:rPr>
            </w:pPr>
            <w:r w:rsidRPr="00AE5CD3">
              <w:rPr>
                <w:rFonts w:asciiTheme="majorHAnsi" w:eastAsia="Times New Roman" w:hAnsiTheme="majorHAnsi"/>
                <w:b/>
                <w:bCs/>
                <w:sz w:val="24"/>
                <w:szCs w:val="24"/>
                <w:lang w:eastAsia="pl-PL"/>
              </w:rPr>
              <w:t>КРИТЕРИИ</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5A1B22" w:rsidP="008119B6">
            <w:pPr>
              <w:spacing w:after="0" w:line="240" w:lineRule="auto"/>
              <w:jc w:val="center"/>
              <w:rPr>
                <w:rFonts w:asciiTheme="majorHAnsi" w:eastAsia="Times New Roman" w:hAnsiTheme="majorHAnsi"/>
                <w:b/>
                <w:sz w:val="24"/>
                <w:szCs w:val="24"/>
                <w:lang w:eastAsia="pl-PL"/>
              </w:rPr>
            </w:pPr>
            <w:r w:rsidRPr="00AE5CD3">
              <w:rPr>
                <w:rFonts w:asciiTheme="majorHAnsi" w:eastAsia="Times New Roman" w:hAnsiTheme="majorHAnsi"/>
                <w:b/>
                <w:sz w:val="24"/>
                <w:szCs w:val="24"/>
                <w:lang w:eastAsia="pl-PL"/>
              </w:rPr>
              <w:t>Макс. брой точки</w:t>
            </w:r>
          </w:p>
        </w:tc>
      </w:tr>
      <w:tr w:rsidR="005A1B22" w:rsidRPr="00AE5CD3" w:rsidTr="00602BCC">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b/>
                <w:bCs/>
                <w:sz w:val="24"/>
                <w:szCs w:val="24"/>
                <w:lang w:eastAsia="pl-PL"/>
              </w:rPr>
            </w:pPr>
            <w:r w:rsidRPr="00AE5CD3">
              <w:rPr>
                <w:rFonts w:asciiTheme="majorHAnsi" w:eastAsia="Times New Roman" w:hAnsiTheme="majorHAnsi"/>
                <w:b/>
                <w:bCs/>
                <w:sz w:val="24"/>
                <w:szCs w:val="24"/>
                <w:lang w:eastAsia="pl-PL"/>
              </w:rPr>
              <w:t>I. Икономическа и финансова стабилност на кандидата преди изпълнение на проекта</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5A1B22" w:rsidP="008119B6">
            <w:pPr>
              <w:spacing w:after="0" w:line="240" w:lineRule="auto"/>
              <w:jc w:val="center"/>
              <w:rPr>
                <w:rFonts w:asciiTheme="majorHAnsi" w:eastAsia="Times New Roman" w:hAnsiTheme="majorHAnsi"/>
                <w:b/>
                <w:bCs/>
                <w:sz w:val="24"/>
                <w:szCs w:val="24"/>
                <w:lang w:eastAsia="pl-PL"/>
              </w:rPr>
            </w:pPr>
            <w:r w:rsidRPr="00AE5CD3">
              <w:rPr>
                <w:rFonts w:asciiTheme="majorHAnsi" w:eastAsia="Times New Roman" w:hAnsiTheme="majorHAnsi"/>
                <w:b/>
                <w:bCs/>
                <w:sz w:val="24"/>
                <w:szCs w:val="24"/>
                <w:lang w:eastAsia="pl-PL"/>
              </w:rPr>
              <w:t>19</w:t>
            </w:r>
          </w:p>
        </w:tc>
      </w:tr>
      <w:tr w:rsidR="005A1B22" w:rsidRPr="00AE5CD3" w:rsidTr="00602BCC">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b/>
                <w:bCs/>
                <w:sz w:val="24"/>
                <w:szCs w:val="24"/>
                <w:lang w:eastAsia="pl-PL"/>
              </w:rPr>
            </w:pPr>
            <w:r w:rsidRPr="00AE5CD3">
              <w:rPr>
                <w:rFonts w:asciiTheme="majorHAnsi" w:eastAsia="Times New Roman" w:hAnsiTheme="majorHAnsi"/>
                <w:sz w:val="24"/>
                <w:szCs w:val="24"/>
                <w:lang w:eastAsia="pl-PL"/>
              </w:rPr>
              <w:lastRenderedPageBreak/>
              <w:t xml:space="preserve">1. Коефициент на рентабилност на печалбата преди лихви,  данъци  и амортизации – EBITDA за последните три приключени </w:t>
            </w:r>
            <w:r w:rsidR="00AD2AE7">
              <w:rPr>
                <w:rFonts w:asciiTheme="majorHAnsi" w:eastAsia="Times New Roman" w:hAnsiTheme="majorHAnsi"/>
                <w:sz w:val="24"/>
                <w:szCs w:val="24"/>
                <w:lang w:eastAsia="pl-PL"/>
              </w:rPr>
              <w:t>бюджетни</w:t>
            </w:r>
            <w:r w:rsidRPr="00AE5CD3">
              <w:rPr>
                <w:rFonts w:asciiTheme="majorHAnsi" w:eastAsia="Times New Roman" w:hAnsiTheme="majorHAnsi"/>
                <w:sz w:val="24"/>
                <w:szCs w:val="24"/>
                <w:lang w:eastAsia="pl-PL"/>
              </w:rPr>
              <w:t xml:space="preserve"> години</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Del="009121CD" w:rsidRDefault="002B2E3D" w:rsidP="008119B6">
            <w:pPr>
              <w:spacing w:after="0" w:line="240" w:lineRule="auto"/>
              <w:jc w:val="center"/>
              <w:rPr>
                <w:rFonts w:asciiTheme="majorHAnsi" w:eastAsia="Times New Roman" w:hAnsiTheme="majorHAnsi"/>
                <w:b/>
                <w:bCs/>
                <w:sz w:val="24"/>
                <w:szCs w:val="24"/>
                <w:lang w:eastAsia="pl-PL"/>
              </w:rPr>
            </w:pPr>
            <w:r w:rsidRPr="00AE5CD3">
              <w:rPr>
                <w:rFonts w:asciiTheme="majorHAnsi" w:eastAsia="Times New Roman" w:hAnsiTheme="majorHAnsi"/>
                <w:b/>
                <w:bCs/>
                <w:sz w:val="24"/>
                <w:szCs w:val="24"/>
                <w:lang w:eastAsia="pl-PL"/>
              </w:rPr>
              <w:t>7</w:t>
            </w:r>
          </w:p>
        </w:tc>
      </w:tr>
      <w:tr w:rsidR="005A1B22" w:rsidRPr="00AE5CD3" w:rsidTr="00602BCC">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 xml:space="preserve">2. Производителност на кандидата за последните три приключени </w:t>
            </w:r>
            <w:r w:rsidR="00AD2AE7">
              <w:rPr>
                <w:rFonts w:asciiTheme="majorHAnsi" w:eastAsia="Times New Roman" w:hAnsiTheme="majorHAnsi"/>
                <w:sz w:val="24"/>
                <w:szCs w:val="24"/>
                <w:lang w:eastAsia="pl-PL"/>
              </w:rPr>
              <w:t>бюджетни</w:t>
            </w:r>
            <w:r w:rsidRPr="00AE5CD3">
              <w:rPr>
                <w:rFonts w:asciiTheme="majorHAnsi" w:eastAsia="Times New Roman" w:hAnsiTheme="majorHAnsi"/>
                <w:sz w:val="24"/>
                <w:szCs w:val="24"/>
                <w:lang w:eastAsia="pl-PL"/>
              </w:rPr>
              <w:t xml:space="preserve"> години</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2B2E3D" w:rsidP="008119B6">
            <w:pPr>
              <w:spacing w:after="0" w:line="240" w:lineRule="auto"/>
              <w:jc w:val="center"/>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3</w:t>
            </w:r>
          </w:p>
        </w:tc>
      </w:tr>
      <w:tr w:rsidR="005A1B22" w:rsidRPr="00AE5CD3" w:rsidTr="00602BCC">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bCs/>
                <w:color w:val="000000"/>
                <w:sz w:val="24"/>
                <w:szCs w:val="24"/>
                <w:lang w:eastAsia="pl-PL"/>
              </w:rPr>
            </w:pPr>
            <w:r w:rsidRPr="00AE5CD3">
              <w:rPr>
                <w:rFonts w:asciiTheme="majorHAnsi" w:eastAsia="Times New Roman" w:hAnsiTheme="majorHAnsi"/>
                <w:bCs/>
                <w:color w:val="000000"/>
                <w:sz w:val="24"/>
                <w:szCs w:val="24"/>
                <w:lang w:eastAsia="pl-PL"/>
              </w:rPr>
              <w:t xml:space="preserve">3. Приходи от износ за </w:t>
            </w:r>
            <w:r w:rsidRPr="00AE5CD3">
              <w:rPr>
                <w:rFonts w:asciiTheme="majorHAnsi" w:eastAsia="Times New Roman" w:hAnsiTheme="majorHAnsi"/>
                <w:sz w:val="24"/>
                <w:szCs w:val="24"/>
                <w:lang w:eastAsia="pl-PL"/>
              </w:rPr>
              <w:t xml:space="preserve">последните три приключени </w:t>
            </w:r>
            <w:r w:rsidR="00AD2AE7">
              <w:rPr>
                <w:rFonts w:asciiTheme="majorHAnsi" w:eastAsia="Times New Roman" w:hAnsiTheme="majorHAnsi"/>
                <w:sz w:val="24"/>
                <w:szCs w:val="24"/>
                <w:lang w:eastAsia="pl-PL"/>
              </w:rPr>
              <w:t>бюджетни</w:t>
            </w:r>
            <w:r w:rsidRPr="00AE5CD3">
              <w:rPr>
                <w:rFonts w:asciiTheme="majorHAnsi" w:eastAsia="Times New Roman" w:hAnsiTheme="majorHAnsi"/>
                <w:sz w:val="24"/>
                <w:szCs w:val="24"/>
                <w:lang w:eastAsia="pl-PL"/>
              </w:rPr>
              <w:t xml:space="preserve"> години</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2B2E3D" w:rsidP="008119B6">
            <w:pPr>
              <w:spacing w:after="0" w:line="240" w:lineRule="auto"/>
              <w:jc w:val="center"/>
              <w:rPr>
                <w:rFonts w:asciiTheme="majorHAnsi" w:eastAsia="Times New Roman" w:hAnsiTheme="majorHAnsi"/>
                <w:bCs/>
                <w:sz w:val="24"/>
                <w:szCs w:val="24"/>
                <w:lang w:eastAsia="pl-PL"/>
              </w:rPr>
            </w:pPr>
            <w:r w:rsidRPr="00AE5CD3">
              <w:rPr>
                <w:rFonts w:asciiTheme="majorHAnsi" w:eastAsia="Times New Roman" w:hAnsiTheme="majorHAnsi"/>
                <w:bCs/>
                <w:sz w:val="24"/>
                <w:szCs w:val="24"/>
                <w:lang w:eastAsia="pl-PL"/>
              </w:rPr>
              <w:t>3</w:t>
            </w:r>
          </w:p>
        </w:tc>
      </w:tr>
      <w:tr w:rsidR="005A1B22" w:rsidRPr="00AE5CD3" w:rsidTr="00602BCC">
        <w:trPr>
          <w:trHeight w:val="439"/>
        </w:trPr>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 xml:space="preserve">4. Съпоставимост между средната стойност на EBITDA за последните три приключени </w:t>
            </w:r>
            <w:r w:rsidR="00AD2AE7">
              <w:rPr>
                <w:rFonts w:asciiTheme="majorHAnsi" w:eastAsia="Times New Roman" w:hAnsiTheme="majorHAnsi"/>
                <w:sz w:val="24"/>
                <w:szCs w:val="24"/>
                <w:lang w:eastAsia="pl-PL"/>
              </w:rPr>
              <w:t>бюджетни</w:t>
            </w:r>
            <w:r w:rsidRPr="00AE5CD3">
              <w:rPr>
                <w:rFonts w:asciiTheme="majorHAnsi" w:eastAsia="Times New Roman" w:hAnsiTheme="majorHAnsi"/>
                <w:sz w:val="24"/>
                <w:szCs w:val="24"/>
                <w:lang w:eastAsia="pl-PL"/>
              </w:rPr>
              <w:t xml:space="preserve"> години на кандидата и стойността на заявените общи допустими разходи по проекта</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2B2E3D" w:rsidP="008119B6">
            <w:pPr>
              <w:spacing w:after="0" w:line="240" w:lineRule="auto"/>
              <w:jc w:val="center"/>
              <w:rPr>
                <w:rFonts w:asciiTheme="majorHAnsi" w:eastAsia="Times New Roman" w:hAnsiTheme="majorHAnsi"/>
                <w:bCs/>
                <w:sz w:val="24"/>
                <w:szCs w:val="24"/>
                <w:lang w:eastAsia="pl-PL"/>
              </w:rPr>
            </w:pPr>
            <w:r w:rsidRPr="00AE5CD3">
              <w:rPr>
                <w:rFonts w:asciiTheme="majorHAnsi" w:eastAsia="Times New Roman" w:hAnsiTheme="majorHAnsi"/>
                <w:bCs/>
                <w:sz w:val="24"/>
                <w:szCs w:val="24"/>
                <w:lang w:eastAsia="pl-PL"/>
              </w:rPr>
              <w:t>3</w:t>
            </w:r>
          </w:p>
        </w:tc>
      </w:tr>
      <w:tr w:rsidR="005A1B22" w:rsidRPr="00AE5CD3" w:rsidTr="00602BCC">
        <w:trPr>
          <w:trHeight w:val="439"/>
        </w:trPr>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5. Коефициент на задлъжнялост спрямо последната приключена финансова година</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2B2E3D" w:rsidP="008119B6">
            <w:pPr>
              <w:spacing w:after="0" w:line="240" w:lineRule="auto"/>
              <w:jc w:val="center"/>
              <w:rPr>
                <w:rFonts w:asciiTheme="majorHAnsi" w:eastAsia="Times New Roman" w:hAnsiTheme="majorHAnsi"/>
                <w:bCs/>
                <w:sz w:val="24"/>
                <w:szCs w:val="24"/>
                <w:lang w:eastAsia="pl-PL"/>
              </w:rPr>
            </w:pPr>
            <w:r w:rsidRPr="00AE5CD3">
              <w:rPr>
                <w:rFonts w:asciiTheme="majorHAnsi" w:eastAsia="Times New Roman" w:hAnsiTheme="majorHAnsi"/>
                <w:bCs/>
                <w:sz w:val="24"/>
                <w:szCs w:val="24"/>
                <w:lang w:eastAsia="pl-PL"/>
              </w:rPr>
              <w:t>3</w:t>
            </w:r>
          </w:p>
        </w:tc>
      </w:tr>
      <w:tr w:rsidR="005A1B22" w:rsidRPr="00AE5CD3" w:rsidTr="00602BCC">
        <w:trPr>
          <w:trHeight w:val="397"/>
        </w:trPr>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b/>
                <w:bCs/>
                <w:sz w:val="24"/>
                <w:szCs w:val="24"/>
                <w:lang w:eastAsia="pl-PL"/>
              </w:rPr>
            </w:pPr>
            <w:r w:rsidRPr="00AE5CD3">
              <w:rPr>
                <w:rFonts w:asciiTheme="majorHAnsi" w:eastAsia="Times New Roman" w:hAnsiTheme="majorHAnsi"/>
                <w:b/>
                <w:bCs/>
                <w:sz w:val="24"/>
                <w:szCs w:val="24"/>
                <w:lang w:eastAsia="pl-PL"/>
              </w:rPr>
              <w:t>II. Капацитет на кандидата в инвестиционни проекти и управление</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5A1B22" w:rsidP="008119B6">
            <w:pPr>
              <w:spacing w:after="0" w:line="240" w:lineRule="auto"/>
              <w:jc w:val="center"/>
              <w:rPr>
                <w:rFonts w:asciiTheme="majorHAnsi" w:eastAsia="Times New Roman" w:hAnsiTheme="majorHAnsi"/>
                <w:b/>
                <w:bCs/>
                <w:sz w:val="24"/>
                <w:szCs w:val="24"/>
                <w:lang w:eastAsia="pl-PL"/>
              </w:rPr>
            </w:pPr>
            <w:r w:rsidRPr="00AE5CD3">
              <w:rPr>
                <w:rFonts w:asciiTheme="majorHAnsi" w:eastAsia="Times New Roman" w:hAnsiTheme="majorHAnsi"/>
                <w:b/>
                <w:bCs/>
                <w:sz w:val="24"/>
                <w:szCs w:val="24"/>
                <w:lang w:eastAsia="pl-PL"/>
              </w:rPr>
              <w:t>6</w:t>
            </w:r>
          </w:p>
        </w:tc>
      </w:tr>
      <w:tr w:rsidR="005A1B22" w:rsidRPr="00AE5CD3" w:rsidTr="00602BCC">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 xml:space="preserve">1. Инвестиционна дейност на кандидата за последните три приключени </w:t>
            </w:r>
            <w:r w:rsidR="00AD2AE7">
              <w:rPr>
                <w:rFonts w:asciiTheme="majorHAnsi" w:eastAsia="Times New Roman" w:hAnsiTheme="majorHAnsi"/>
                <w:sz w:val="24"/>
                <w:szCs w:val="24"/>
                <w:lang w:eastAsia="pl-PL"/>
              </w:rPr>
              <w:t>бюджетни</w:t>
            </w:r>
            <w:r w:rsidRPr="00AE5CD3">
              <w:rPr>
                <w:rFonts w:asciiTheme="majorHAnsi" w:eastAsia="Times New Roman" w:hAnsiTheme="majorHAnsi"/>
                <w:sz w:val="24"/>
                <w:szCs w:val="24"/>
                <w:lang w:eastAsia="pl-PL"/>
              </w:rPr>
              <w:t xml:space="preserve"> години</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2B2E3D" w:rsidP="008119B6">
            <w:pPr>
              <w:spacing w:after="0" w:line="240" w:lineRule="auto"/>
              <w:jc w:val="center"/>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4</w:t>
            </w:r>
          </w:p>
        </w:tc>
      </w:tr>
      <w:tr w:rsidR="005A1B22" w:rsidRPr="00AE5CD3" w:rsidTr="00602BCC">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633C4F">
            <w:pPr>
              <w:spacing w:after="0" w:line="240" w:lineRule="auto"/>
              <w:jc w:val="both"/>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 xml:space="preserve">2. </w:t>
            </w:r>
            <w:r w:rsidR="00633C4F">
              <w:rPr>
                <w:rFonts w:asciiTheme="majorHAnsi" w:eastAsia="Times New Roman" w:hAnsiTheme="majorHAnsi"/>
                <w:sz w:val="24"/>
                <w:szCs w:val="24"/>
                <w:lang w:eastAsia="pl-PL"/>
              </w:rPr>
              <w:t xml:space="preserve">Внедрени стандарти и </w:t>
            </w:r>
            <w:r w:rsidRPr="00AE5CD3">
              <w:rPr>
                <w:rFonts w:asciiTheme="majorHAnsi" w:eastAsia="Times New Roman" w:hAnsiTheme="majorHAnsi"/>
                <w:sz w:val="24"/>
                <w:szCs w:val="24"/>
                <w:lang w:eastAsia="pl-PL"/>
              </w:rPr>
              <w:t>системи за управление</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2B2E3D" w:rsidP="008119B6">
            <w:pPr>
              <w:spacing w:after="0" w:line="240" w:lineRule="auto"/>
              <w:jc w:val="center"/>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2</w:t>
            </w:r>
          </w:p>
        </w:tc>
      </w:tr>
      <w:tr w:rsidR="005A1B22" w:rsidRPr="00AE5CD3" w:rsidTr="00602BCC">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b/>
                <w:sz w:val="24"/>
                <w:szCs w:val="24"/>
                <w:lang w:eastAsia="pl-PL"/>
              </w:rPr>
            </w:pPr>
            <w:r w:rsidRPr="00AE5CD3">
              <w:rPr>
                <w:rFonts w:asciiTheme="majorHAnsi" w:eastAsia="Times New Roman" w:hAnsiTheme="majorHAnsi"/>
                <w:b/>
                <w:sz w:val="24"/>
                <w:szCs w:val="24"/>
                <w:lang w:eastAsia="pl-PL"/>
              </w:rPr>
              <w:t>III. Ефект от изпълнението на проекта</w:t>
            </w:r>
            <w:r w:rsidRPr="00AE5CD3">
              <w:rPr>
                <w:rFonts w:asciiTheme="majorHAnsi" w:eastAsia="Times New Roman" w:hAnsiTheme="majorHAnsi"/>
                <w:b/>
                <w:sz w:val="24"/>
                <w:szCs w:val="24"/>
                <w:vertAlign w:val="superscript"/>
                <w:lang w:eastAsia="pl-PL"/>
              </w:rPr>
              <w:footnoteReference w:id="19"/>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center"/>
              <w:rPr>
                <w:rFonts w:asciiTheme="majorHAnsi" w:eastAsia="Times New Roman" w:hAnsiTheme="majorHAnsi"/>
                <w:b/>
                <w:sz w:val="24"/>
                <w:szCs w:val="24"/>
                <w:lang w:eastAsia="pl-PL"/>
              </w:rPr>
            </w:pPr>
            <w:r w:rsidRPr="00AE5CD3">
              <w:rPr>
                <w:rFonts w:asciiTheme="majorHAnsi" w:eastAsia="Times New Roman" w:hAnsiTheme="majorHAnsi"/>
                <w:b/>
                <w:sz w:val="24"/>
                <w:szCs w:val="24"/>
                <w:lang w:eastAsia="pl-PL"/>
              </w:rPr>
              <w:t>10</w:t>
            </w:r>
          </w:p>
        </w:tc>
      </w:tr>
      <w:tr w:rsidR="005A1B22" w:rsidRPr="00AE5CD3" w:rsidTr="00602BCC">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1. Вътрешна норма на възвръщаемост</w:t>
            </w:r>
            <w:r w:rsidRPr="00AE5CD3">
              <w:rPr>
                <w:rFonts w:asciiTheme="majorHAnsi" w:eastAsia="Times New Roman" w:hAnsiTheme="majorHAnsi"/>
                <w:sz w:val="24"/>
                <w:szCs w:val="24"/>
                <w:vertAlign w:val="superscript"/>
                <w:lang w:eastAsia="pl-PL"/>
              </w:rPr>
              <w:footnoteReference w:id="20"/>
            </w:r>
            <w:r w:rsidRPr="00AE5CD3">
              <w:rPr>
                <w:rFonts w:asciiTheme="majorHAnsi" w:eastAsia="Times New Roman" w:hAnsiTheme="majorHAnsi"/>
                <w:sz w:val="24"/>
                <w:szCs w:val="24"/>
                <w:lang w:eastAsia="pl-PL"/>
              </w:rPr>
              <w:t xml:space="preserve"> (N, N+1, N+2, N+3)</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Del="008A261B" w:rsidRDefault="002B2E3D" w:rsidP="008119B6">
            <w:pPr>
              <w:spacing w:after="0" w:line="240" w:lineRule="auto"/>
              <w:jc w:val="center"/>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4</w:t>
            </w:r>
          </w:p>
        </w:tc>
      </w:tr>
      <w:tr w:rsidR="005A1B22" w:rsidRPr="00AE5CD3" w:rsidTr="00602BCC">
        <w:trPr>
          <w:trHeight w:val="439"/>
        </w:trPr>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2. Нарастване на производителността (N+1, N+2, N+3)</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2B2E3D" w:rsidP="008119B6">
            <w:pPr>
              <w:spacing w:after="0" w:line="240" w:lineRule="auto"/>
              <w:jc w:val="center"/>
              <w:rPr>
                <w:rFonts w:asciiTheme="majorHAnsi" w:eastAsia="Times New Roman" w:hAnsiTheme="majorHAnsi"/>
                <w:bCs/>
                <w:sz w:val="24"/>
                <w:szCs w:val="24"/>
                <w:lang w:eastAsia="pl-PL"/>
              </w:rPr>
            </w:pPr>
            <w:r w:rsidRPr="00AE5CD3">
              <w:rPr>
                <w:rFonts w:asciiTheme="majorHAnsi" w:eastAsia="Times New Roman" w:hAnsiTheme="majorHAnsi"/>
                <w:bCs/>
                <w:sz w:val="24"/>
                <w:szCs w:val="24"/>
                <w:lang w:eastAsia="pl-PL"/>
              </w:rPr>
              <w:t>2</w:t>
            </w:r>
          </w:p>
        </w:tc>
      </w:tr>
      <w:tr w:rsidR="005A1B22" w:rsidRPr="00AE5CD3" w:rsidTr="00602BCC">
        <w:trPr>
          <w:trHeight w:val="439"/>
        </w:trPr>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3. Изменение на средните генерирани приходи от износ вследствие на инвестицията по проекта (N+1, N+2, N+3)</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2B2E3D" w:rsidP="008119B6">
            <w:pPr>
              <w:spacing w:after="0" w:line="240" w:lineRule="auto"/>
              <w:jc w:val="center"/>
              <w:rPr>
                <w:rFonts w:asciiTheme="majorHAnsi" w:eastAsia="Times New Roman" w:hAnsiTheme="majorHAnsi"/>
                <w:bCs/>
                <w:sz w:val="24"/>
                <w:szCs w:val="24"/>
                <w:lang w:eastAsia="pl-PL"/>
              </w:rPr>
            </w:pPr>
            <w:r w:rsidRPr="00AE5CD3">
              <w:rPr>
                <w:rFonts w:asciiTheme="majorHAnsi" w:eastAsia="Times New Roman" w:hAnsiTheme="majorHAnsi"/>
                <w:bCs/>
                <w:sz w:val="24"/>
                <w:szCs w:val="24"/>
                <w:lang w:eastAsia="pl-PL"/>
              </w:rPr>
              <w:t>2</w:t>
            </w:r>
          </w:p>
        </w:tc>
      </w:tr>
      <w:tr w:rsidR="005A1B22" w:rsidRPr="00AE5CD3" w:rsidTr="00602BCC">
        <w:trPr>
          <w:trHeight w:val="439"/>
        </w:trPr>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4. Повишаване на ефективността на производствените разходи (N+1, N+2, N+3)</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Del="00A53CC4" w:rsidRDefault="002B2E3D" w:rsidP="008119B6">
            <w:pPr>
              <w:spacing w:after="0" w:line="240" w:lineRule="auto"/>
              <w:jc w:val="center"/>
              <w:rPr>
                <w:rFonts w:asciiTheme="majorHAnsi" w:eastAsia="Times New Roman" w:hAnsiTheme="majorHAnsi"/>
                <w:bCs/>
                <w:sz w:val="24"/>
                <w:szCs w:val="24"/>
                <w:lang w:eastAsia="pl-PL"/>
              </w:rPr>
            </w:pPr>
            <w:r w:rsidRPr="00AE5CD3">
              <w:rPr>
                <w:rFonts w:asciiTheme="majorHAnsi" w:eastAsia="Times New Roman" w:hAnsiTheme="majorHAnsi"/>
                <w:bCs/>
                <w:sz w:val="24"/>
                <w:szCs w:val="24"/>
                <w:lang w:eastAsia="pl-PL"/>
              </w:rPr>
              <w:t>2</w:t>
            </w:r>
          </w:p>
        </w:tc>
      </w:tr>
      <w:tr w:rsidR="005A1B22" w:rsidRPr="00AE5CD3" w:rsidTr="00602BCC">
        <w:trPr>
          <w:trHeight w:val="225"/>
        </w:trPr>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b/>
                <w:sz w:val="24"/>
                <w:szCs w:val="24"/>
                <w:lang w:eastAsia="pl-PL"/>
              </w:rPr>
            </w:pPr>
            <w:r w:rsidRPr="00AE5CD3">
              <w:rPr>
                <w:rFonts w:asciiTheme="majorHAnsi" w:eastAsia="Times New Roman" w:hAnsiTheme="majorHAnsi"/>
                <w:b/>
                <w:sz w:val="24"/>
                <w:szCs w:val="24"/>
                <w:lang w:eastAsia="pl-PL"/>
              </w:rPr>
              <w:t xml:space="preserve">IV.Приоритизиране на проекти </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center"/>
              <w:rPr>
                <w:rFonts w:asciiTheme="majorHAnsi" w:eastAsia="Times New Roman" w:hAnsiTheme="majorHAnsi"/>
                <w:b/>
                <w:sz w:val="24"/>
                <w:szCs w:val="24"/>
                <w:lang w:eastAsia="pl-PL"/>
              </w:rPr>
            </w:pPr>
            <w:r w:rsidRPr="00AE5CD3">
              <w:rPr>
                <w:rFonts w:asciiTheme="majorHAnsi" w:eastAsia="Times New Roman" w:hAnsiTheme="majorHAnsi"/>
                <w:b/>
                <w:sz w:val="24"/>
                <w:szCs w:val="24"/>
                <w:lang w:eastAsia="pl-PL"/>
              </w:rPr>
              <w:t>15</w:t>
            </w:r>
          </w:p>
        </w:tc>
      </w:tr>
      <w:tr w:rsidR="005A1B22" w:rsidRPr="00AE5CD3" w:rsidTr="00602BCC">
        <w:trPr>
          <w:trHeight w:val="225"/>
        </w:trPr>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1. Тематично приоритизиране в областите на ИСИС</w:t>
            </w:r>
            <w:r w:rsidR="0040263C" w:rsidRPr="00AE5CD3">
              <w:rPr>
                <w:rStyle w:val="ae"/>
                <w:rFonts w:asciiTheme="majorHAnsi" w:eastAsia="Times New Roman" w:hAnsiTheme="majorHAnsi"/>
                <w:sz w:val="24"/>
                <w:szCs w:val="24"/>
                <w:lang w:eastAsia="pl-PL"/>
              </w:rPr>
              <w:footnoteReference w:id="21"/>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855BFA" w:rsidRDefault="00855BFA" w:rsidP="008119B6">
            <w:pPr>
              <w:spacing w:after="0" w:line="240" w:lineRule="auto"/>
              <w:jc w:val="center"/>
              <w:rPr>
                <w:rFonts w:asciiTheme="majorHAnsi" w:eastAsia="Times New Roman" w:hAnsiTheme="majorHAnsi"/>
                <w:sz w:val="24"/>
                <w:szCs w:val="24"/>
                <w:lang w:val="en-US" w:eastAsia="pl-PL"/>
              </w:rPr>
            </w:pPr>
            <w:r w:rsidRPr="00855BFA">
              <w:rPr>
                <w:rFonts w:asciiTheme="majorHAnsi" w:eastAsia="Times New Roman" w:hAnsiTheme="majorHAnsi"/>
                <w:sz w:val="24"/>
                <w:szCs w:val="24"/>
                <w:lang w:val="en-US" w:eastAsia="pl-PL"/>
              </w:rPr>
              <w:t>5</w:t>
            </w:r>
          </w:p>
        </w:tc>
      </w:tr>
      <w:tr w:rsidR="005A1B22" w:rsidRPr="00AE5CD3" w:rsidTr="00602BCC">
        <w:trPr>
          <w:trHeight w:val="225"/>
        </w:trPr>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855BFA" w:rsidP="00855BFA">
            <w:pPr>
              <w:spacing w:after="0" w:line="240" w:lineRule="auto"/>
              <w:jc w:val="both"/>
              <w:rPr>
                <w:rFonts w:asciiTheme="majorHAnsi" w:eastAsia="Times New Roman" w:hAnsiTheme="majorHAnsi"/>
                <w:sz w:val="24"/>
                <w:szCs w:val="24"/>
                <w:lang w:eastAsia="pl-PL"/>
              </w:rPr>
            </w:pPr>
            <w:r w:rsidRPr="00855BFA">
              <w:rPr>
                <w:rFonts w:asciiTheme="majorHAnsi" w:eastAsia="Times New Roman" w:hAnsiTheme="majorHAnsi"/>
                <w:sz w:val="24"/>
                <w:szCs w:val="24"/>
                <w:lang w:val="ru-RU" w:eastAsia="pl-PL"/>
              </w:rPr>
              <w:t>2</w:t>
            </w:r>
            <w:r w:rsidR="005A1B22" w:rsidRPr="00AE5CD3">
              <w:rPr>
                <w:rFonts w:asciiTheme="majorHAnsi" w:eastAsia="Times New Roman" w:hAnsiTheme="majorHAnsi"/>
                <w:sz w:val="24"/>
                <w:szCs w:val="24"/>
                <w:lang w:eastAsia="pl-PL"/>
              </w:rPr>
              <w:t>. Инвестиции за опазване на околната среда, вкл. такива, които допринасят за смекчаване на последиците от изменението на климата</w:t>
            </w:r>
            <w:r w:rsidR="005A1B22" w:rsidRPr="00AE5CD3">
              <w:rPr>
                <w:rFonts w:asciiTheme="majorHAnsi" w:eastAsia="Times New Roman" w:hAnsiTheme="majorHAnsi"/>
                <w:sz w:val="24"/>
                <w:szCs w:val="24"/>
                <w:vertAlign w:val="superscript"/>
                <w:lang w:eastAsia="pl-PL"/>
              </w:rPr>
              <w:footnoteReference w:id="22"/>
            </w:r>
            <w:r w:rsidR="005A1B22" w:rsidRPr="00AE5CD3">
              <w:rPr>
                <w:rFonts w:asciiTheme="majorHAnsi" w:eastAsia="Times New Roman" w:hAnsiTheme="majorHAnsi"/>
                <w:sz w:val="24"/>
                <w:szCs w:val="24"/>
                <w:lang w:eastAsia="pl-PL"/>
              </w:rPr>
              <w:t xml:space="preserve"> и приспособяване към тях</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855BFA" w:rsidRDefault="00855BFA" w:rsidP="008119B6">
            <w:pPr>
              <w:spacing w:after="0" w:line="240" w:lineRule="auto"/>
              <w:jc w:val="center"/>
              <w:rPr>
                <w:rFonts w:asciiTheme="majorHAnsi" w:eastAsia="Times New Roman" w:hAnsiTheme="majorHAnsi"/>
                <w:sz w:val="24"/>
                <w:szCs w:val="24"/>
                <w:lang w:val="en-US" w:eastAsia="pl-PL"/>
              </w:rPr>
            </w:pPr>
            <w:r w:rsidRPr="00855BFA">
              <w:rPr>
                <w:rFonts w:asciiTheme="majorHAnsi" w:eastAsia="Times New Roman" w:hAnsiTheme="majorHAnsi"/>
                <w:sz w:val="24"/>
                <w:szCs w:val="24"/>
                <w:lang w:val="en-US" w:eastAsia="pl-PL"/>
              </w:rPr>
              <w:t>5</w:t>
            </w:r>
          </w:p>
        </w:tc>
      </w:tr>
      <w:tr w:rsidR="005A1B22" w:rsidRPr="00AE5CD3" w:rsidTr="00602BCC">
        <w:trPr>
          <w:trHeight w:val="225"/>
        </w:trPr>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855BFA" w:rsidP="00855BFA">
            <w:pPr>
              <w:spacing w:after="0" w:line="240" w:lineRule="auto"/>
              <w:jc w:val="both"/>
              <w:rPr>
                <w:rFonts w:asciiTheme="majorHAnsi" w:eastAsia="Times New Roman" w:hAnsiTheme="majorHAnsi"/>
                <w:sz w:val="24"/>
                <w:szCs w:val="24"/>
                <w:lang w:eastAsia="pl-PL"/>
              </w:rPr>
            </w:pPr>
            <w:r>
              <w:rPr>
                <w:rFonts w:asciiTheme="majorHAnsi" w:eastAsia="Times New Roman" w:hAnsiTheme="majorHAnsi"/>
                <w:sz w:val="24"/>
                <w:szCs w:val="24"/>
                <w:lang w:val="en-US" w:eastAsia="pl-PL"/>
              </w:rPr>
              <w:t>3</w:t>
            </w:r>
            <w:r w:rsidR="005A1B22" w:rsidRPr="00AE5CD3">
              <w:rPr>
                <w:rFonts w:asciiTheme="majorHAnsi" w:eastAsia="Times New Roman" w:hAnsiTheme="majorHAnsi"/>
                <w:sz w:val="24"/>
                <w:szCs w:val="24"/>
                <w:lang w:eastAsia="pl-PL"/>
              </w:rPr>
              <w:t>. Устойчиво развитие</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855BFA" w:rsidRDefault="00855BFA" w:rsidP="008119B6">
            <w:pPr>
              <w:spacing w:after="0" w:line="240" w:lineRule="auto"/>
              <w:jc w:val="center"/>
              <w:rPr>
                <w:rFonts w:asciiTheme="majorHAnsi" w:eastAsia="Times New Roman" w:hAnsiTheme="majorHAnsi"/>
                <w:sz w:val="24"/>
                <w:szCs w:val="24"/>
                <w:lang w:val="en-US" w:eastAsia="pl-PL"/>
              </w:rPr>
            </w:pPr>
            <w:r w:rsidRPr="00855BFA">
              <w:rPr>
                <w:rFonts w:asciiTheme="majorHAnsi" w:eastAsia="Times New Roman" w:hAnsiTheme="majorHAnsi"/>
                <w:sz w:val="24"/>
                <w:szCs w:val="24"/>
                <w:lang w:val="en-US" w:eastAsia="pl-PL"/>
              </w:rPr>
              <w:t>5</w:t>
            </w:r>
          </w:p>
        </w:tc>
      </w:tr>
      <w:tr w:rsidR="005A1B22" w:rsidRPr="00AE5CD3" w:rsidTr="00602BCC">
        <w:tc>
          <w:tcPr>
            <w:tcW w:w="4350" w:type="pct"/>
            <w:shd w:val="clear" w:color="auto" w:fill="auto"/>
          </w:tcPr>
          <w:p w:rsidR="005A1B22" w:rsidRPr="00AE5CD3" w:rsidRDefault="005A1B22" w:rsidP="008119B6">
            <w:pPr>
              <w:autoSpaceDE w:val="0"/>
              <w:autoSpaceDN w:val="0"/>
              <w:adjustRightInd w:val="0"/>
              <w:spacing w:after="0" w:line="240" w:lineRule="auto"/>
              <w:rPr>
                <w:rFonts w:asciiTheme="majorHAnsi" w:hAnsiTheme="majorHAnsi"/>
                <w:color w:val="000000"/>
                <w:sz w:val="24"/>
                <w:szCs w:val="24"/>
              </w:rPr>
            </w:pPr>
            <w:r w:rsidRPr="00AE5CD3">
              <w:rPr>
                <w:rFonts w:asciiTheme="majorHAnsi" w:hAnsiTheme="majorHAnsi"/>
                <w:b/>
                <w:bCs/>
                <w:color w:val="000000"/>
                <w:sz w:val="24"/>
                <w:szCs w:val="24"/>
              </w:rPr>
              <w:t xml:space="preserve">V. Бюджет и ефективност на разходите </w:t>
            </w:r>
          </w:p>
        </w:tc>
        <w:tc>
          <w:tcPr>
            <w:tcW w:w="650" w:type="pct"/>
            <w:shd w:val="clear" w:color="auto" w:fill="auto"/>
          </w:tcPr>
          <w:p w:rsidR="005A1B22" w:rsidRPr="00AE5CD3" w:rsidRDefault="005A1B22" w:rsidP="008119B6">
            <w:pPr>
              <w:autoSpaceDE w:val="0"/>
              <w:autoSpaceDN w:val="0"/>
              <w:adjustRightInd w:val="0"/>
              <w:spacing w:after="0" w:line="240" w:lineRule="auto"/>
              <w:jc w:val="center"/>
              <w:rPr>
                <w:rFonts w:asciiTheme="majorHAnsi" w:hAnsiTheme="majorHAnsi"/>
                <w:sz w:val="24"/>
                <w:szCs w:val="24"/>
              </w:rPr>
            </w:pPr>
            <w:r w:rsidRPr="00AE5CD3">
              <w:rPr>
                <w:rFonts w:asciiTheme="majorHAnsi" w:hAnsiTheme="majorHAnsi"/>
                <w:b/>
                <w:bCs/>
                <w:sz w:val="24"/>
                <w:szCs w:val="24"/>
              </w:rPr>
              <w:t>10</w:t>
            </w:r>
          </w:p>
        </w:tc>
      </w:tr>
      <w:tr w:rsidR="005A1B22" w:rsidRPr="00AE5CD3" w:rsidTr="00602BCC">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rPr>
                <w:rFonts w:asciiTheme="majorHAnsi" w:eastAsia="Times New Roman" w:hAnsiTheme="majorHAnsi"/>
                <w:sz w:val="24"/>
                <w:szCs w:val="24"/>
                <w:lang w:eastAsia="bg-BG"/>
              </w:rPr>
            </w:pPr>
            <w:r w:rsidRPr="00AE5CD3">
              <w:rPr>
                <w:rFonts w:asciiTheme="majorHAnsi" w:eastAsia="Times New Roman" w:hAnsiTheme="majorHAnsi"/>
                <w:sz w:val="24"/>
                <w:szCs w:val="24"/>
                <w:lang w:eastAsia="bg-BG"/>
              </w:rPr>
              <w:t>1. Реалистичност на разходите по проекта</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2B2E3D" w:rsidP="008119B6">
            <w:pPr>
              <w:spacing w:after="0" w:line="240" w:lineRule="auto"/>
              <w:jc w:val="center"/>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4</w:t>
            </w:r>
          </w:p>
        </w:tc>
      </w:tr>
      <w:tr w:rsidR="005A1B22" w:rsidRPr="00AE5CD3" w:rsidTr="00602BCC">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rPr>
                <w:rFonts w:asciiTheme="majorHAnsi" w:eastAsia="Times New Roman" w:hAnsiTheme="majorHAnsi"/>
                <w:sz w:val="24"/>
                <w:szCs w:val="24"/>
                <w:lang w:eastAsia="bg-BG"/>
              </w:rPr>
            </w:pPr>
            <w:r w:rsidRPr="00AE5CD3">
              <w:rPr>
                <w:rFonts w:asciiTheme="majorHAnsi" w:eastAsia="Times New Roman" w:hAnsiTheme="majorHAnsi"/>
                <w:sz w:val="24"/>
                <w:szCs w:val="24"/>
                <w:lang w:eastAsia="bg-BG"/>
              </w:rPr>
              <w:t>2. Реалистичност на плана за действие по проекта</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2B2E3D" w:rsidP="008119B6">
            <w:pPr>
              <w:spacing w:after="0" w:line="240" w:lineRule="auto"/>
              <w:jc w:val="center"/>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2</w:t>
            </w:r>
          </w:p>
        </w:tc>
      </w:tr>
      <w:tr w:rsidR="005A1B22" w:rsidRPr="00AE5CD3" w:rsidTr="00602BCC">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spacing w:after="0" w:line="240" w:lineRule="auto"/>
              <w:jc w:val="both"/>
              <w:rPr>
                <w:rFonts w:asciiTheme="majorHAnsi" w:eastAsia="Times New Roman" w:hAnsiTheme="majorHAnsi"/>
                <w:sz w:val="24"/>
                <w:szCs w:val="24"/>
                <w:lang w:eastAsia="bg-BG"/>
              </w:rPr>
            </w:pPr>
            <w:r w:rsidRPr="00AE5CD3">
              <w:rPr>
                <w:rFonts w:asciiTheme="majorHAnsi" w:eastAsia="Times New Roman" w:hAnsiTheme="majorHAnsi"/>
                <w:sz w:val="24"/>
                <w:szCs w:val="24"/>
                <w:lang w:eastAsia="bg-BG"/>
              </w:rPr>
              <w:t>3. Проектното предложение осигурява устойчивост на резултатите и ефект от изпълнението на проекта, вкл. към стратегията за местно развитие</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2B2E3D" w:rsidP="008119B6">
            <w:pPr>
              <w:spacing w:after="0" w:line="240" w:lineRule="auto"/>
              <w:jc w:val="center"/>
              <w:rPr>
                <w:rFonts w:asciiTheme="majorHAnsi" w:eastAsia="Times New Roman" w:hAnsiTheme="majorHAnsi"/>
                <w:sz w:val="24"/>
                <w:szCs w:val="24"/>
                <w:lang w:eastAsia="pl-PL"/>
              </w:rPr>
            </w:pPr>
            <w:r w:rsidRPr="00AE5CD3">
              <w:rPr>
                <w:rFonts w:asciiTheme="majorHAnsi" w:eastAsia="Times New Roman" w:hAnsiTheme="majorHAnsi"/>
                <w:sz w:val="24"/>
                <w:szCs w:val="24"/>
                <w:lang w:eastAsia="pl-PL"/>
              </w:rPr>
              <w:t>4</w:t>
            </w:r>
          </w:p>
        </w:tc>
      </w:tr>
      <w:tr w:rsidR="005A1B22" w:rsidRPr="00AE5CD3" w:rsidTr="00602BCC">
        <w:trPr>
          <w:trHeight w:val="301"/>
        </w:trPr>
        <w:tc>
          <w:tcPr>
            <w:tcW w:w="4350" w:type="pct"/>
            <w:shd w:val="clear" w:color="auto" w:fill="auto"/>
          </w:tcPr>
          <w:p w:rsidR="005A1B22" w:rsidRPr="00AE5CD3" w:rsidRDefault="005A1B22" w:rsidP="008119B6">
            <w:pPr>
              <w:autoSpaceDE w:val="0"/>
              <w:autoSpaceDN w:val="0"/>
              <w:adjustRightInd w:val="0"/>
              <w:spacing w:after="0" w:line="240" w:lineRule="auto"/>
              <w:rPr>
                <w:rFonts w:asciiTheme="majorHAnsi" w:hAnsiTheme="majorHAnsi"/>
                <w:color w:val="000000"/>
                <w:sz w:val="24"/>
                <w:szCs w:val="24"/>
              </w:rPr>
            </w:pPr>
            <w:r w:rsidRPr="00AE5CD3">
              <w:rPr>
                <w:rFonts w:asciiTheme="majorHAnsi" w:hAnsiTheme="majorHAnsi"/>
                <w:b/>
                <w:bCs/>
                <w:color w:val="000000"/>
                <w:sz w:val="24"/>
                <w:szCs w:val="24"/>
              </w:rPr>
              <w:t>VI. Специфични за територията и местната общност критерии</w:t>
            </w:r>
          </w:p>
        </w:tc>
        <w:tc>
          <w:tcPr>
            <w:tcW w:w="650" w:type="pct"/>
            <w:shd w:val="clear" w:color="auto" w:fill="auto"/>
          </w:tcPr>
          <w:p w:rsidR="005A1B22" w:rsidRPr="00AE5CD3" w:rsidRDefault="005A1B22" w:rsidP="008119B6">
            <w:pPr>
              <w:autoSpaceDE w:val="0"/>
              <w:autoSpaceDN w:val="0"/>
              <w:adjustRightInd w:val="0"/>
              <w:spacing w:after="0" w:line="240" w:lineRule="auto"/>
              <w:jc w:val="center"/>
              <w:rPr>
                <w:rFonts w:asciiTheme="majorHAnsi" w:hAnsiTheme="majorHAnsi"/>
                <w:sz w:val="24"/>
                <w:szCs w:val="24"/>
              </w:rPr>
            </w:pPr>
            <w:r w:rsidRPr="00AE5CD3">
              <w:rPr>
                <w:rFonts w:asciiTheme="majorHAnsi" w:hAnsiTheme="majorHAnsi"/>
                <w:b/>
                <w:bCs/>
                <w:sz w:val="24"/>
                <w:szCs w:val="24"/>
              </w:rPr>
              <w:t>40</w:t>
            </w:r>
          </w:p>
        </w:tc>
      </w:tr>
      <w:tr w:rsidR="00ED2529" w:rsidRPr="00AE5CD3" w:rsidTr="00602BCC">
        <w:trPr>
          <w:trHeight w:val="120"/>
        </w:trPr>
        <w:tc>
          <w:tcPr>
            <w:tcW w:w="4350" w:type="pct"/>
            <w:shd w:val="clear" w:color="auto" w:fill="auto"/>
          </w:tcPr>
          <w:p w:rsidR="00ED2529" w:rsidRPr="00AE5CD3" w:rsidRDefault="00ED2529" w:rsidP="008119B6">
            <w:pPr>
              <w:spacing w:after="0" w:line="240" w:lineRule="auto"/>
              <w:jc w:val="both"/>
              <w:rPr>
                <w:rFonts w:asciiTheme="majorHAnsi" w:eastAsia="Times New Roman" w:hAnsiTheme="majorHAnsi"/>
                <w:sz w:val="24"/>
                <w:szCs w:val="24"/>
                <w:lang w:eastAsia="bg-BG"/>
              </w:rPr>
            </w:pPr>
            <w:r w:rsidRPr="00AE5CD3">
              <w:rPr>
                <w:rFonts w:asciiTheme="majorHAnsi" w:eastAsia="Times New Roman" w:hAnsiTheme="majorHAnsi"/>
                <w:sz w:val="24"/>
                <w:szCs w:val="24"/>
                <w:lang w:eastAsia="bg-BG"/>
              </w:rPr>
              <w:t>1. Кандидатът осигурява заетост</w:t>
            </w:r>
            <w:r w:rsidRPr="00AE5CD3">
              <w:rPr>
                <w:rFonts w:asciiTheme="majorHAnsi" w:eastAsia="Times New Roman" w:hAnsiTheme="majorHAnsi"/>
                <w:sz w:val="24"/>
                <w:szCs w:val="24"/>
                <w:vertAlign w:val="superscript"/>
                <w:lang w:eastAsia="bg-BG"/>
              </w:rPr>
              <w:footnoteReference w:id="23"/>
            </w:r>
            <w:r w:rsidRPr="00AE5CD3">
              <w:rPr>
                <w:rFonts w:asciiTheme="majorHAnsi" w:eastAsia="Times New Roman" w:hAnsiTheme="majorHAnsi"/>
                <w:sz w:val="24"/>
                <w:szCs w:val="24"/>
                <w:lang w:eastAsia="bg-BG"/>
              </w:rPr>
              <w:t xml:space="preserve"> през последната приключила финансова година на:</w:t>
            </w:r>
          </w:p>
          <w:p w:rsidR="00ED2529" w:rsidRPr="00AE5CD3" w:rsidRDefault="00ED2529" w:rsidP="008119B6">
            <w:pPr>
              <w:spacing w:after="0" w:line="240" w:lineRule="auto"/>
              <w:jc w:val="both"/>
              <w:rPr>
                <w:rFonts w:asciiTheme="majorHAnsi" w:eastAsia="Times New Roman" w:hAnsiTheme="majorHAnsi"/>
                <w:sz w:val="24"/>
                <w:szCs w:val="24"/>
                <w:lang w:eastAsia="bg-BG"/>
              </w:rPr>
            </w:pPr>
            <w:r w:rsidRPr="00AE5CD3">
              <w:rPr>
                <w:rFonts w:asciiTheme="majorHAnsi" w:eastAsia="Times New Roman" w:hAnsiTheme="majorHAnsi"/>
                <w:sz w:val="24"/>
                <w:szCs w:val="24"/>
                <w:lang w:eastAsia="bg-BG"/>
              </w:rPr>
              <w:t>- от 10 до 19 (вкл.) души – 10 т.</w:t>
            </w:r>
          </w:p>
          <w:p w:rsidR="00ED2529" w:rsidRPr="00AE5CD3" w:rsidRDefault="00ED2529" w:rsidP="008119B6">
            <w:pPr>
              <w:spacing w:after="0" w:line="240" w:lineRule="auto"/>
              <w:jc w:val="both"/>
              <w:rPr>
                <w:rFonts w:asciiTheme="majorHAnsi" w:eastAsia="Times New Roman" w:hAnsiTheme="majorHAnsi"/>
                <w:sz w:val="24"/>
                <w:szCs w:val="24"/>
                <w:lang w:eastAsia="bg-BG"/>
              </w:rPr>
            </w:pPr>
            <w:r w:rsidRPr="00AE5CD3">
              <w:rPr>
                <w:rFonts w:asciiTheme="majorHAnsi" w:eastAsia="Times New Roman" w:hAnsiTheme="majorHAnsi"/>
                <w:sz w:val="24"/>
                <w:szCs w:val="24"/>
                <w:lang w:eastAsia="bg-BG"/>
              </w:rPr>
              <w:t>- от 20 до 49 (вкл.) души – 20 т.</w:t>
            </w:r>
          </w:p>
          <w:p w:rsidR="00ED2529" w:rsidRPr="00AE5CD3" w:rsidRDefault="00ED2529" w:rsidP="008119B6">
            <w:pPr>
              <w:spacing w:after="0" w:line="240" w:lineRule="auto"/>
              <w:jc w:val="both"/>
              <w:rPr>
                <w:rFonts w:asciiTheme="majorHAnsi" w:eastAsia="Times New Roman" w:hAnsiTheme="majorHAnsi"/>
                <w:sz w:val="24"/>
                <w:szCs w:val="24"/>
                <w:lang w:eastAsia="bg-BG"/>
              </w:rPr>
            </w:pPr>
            <w:r w:rsidRPr="00AE5CD3">
              <w:rPr>
                <w:rFonts w:asciiTheme="majorHAnsi" w:eastAsia="Times New Roman" w:hAnsiTheme="majorHAnsi"/>
                <w:sz w:val="24"/>
                <w:szCs w:val="24"/>
                <w:lang w:eastAsia="bg-BG"/>
              </w:rPr>
              <w:t>- над 50 души – 30 т.</w:t>
            </w:r>
          </w:p>
        </w:tc>
        <w:tc>
          <w:tcPr>
            <w:tcW w:w="650" w:type="pct"/>
            <w:shd w:val="clear" w:color="auto" w:fill="auto"/>
          </w:tcPr>
          <w:p w:rsidR="00ED2529" w:rsidRPr="00AE5CD3" w:rsidRDefault="00ED2529" w:rsidP="008119B6">
            <w:pPr>
              <w:spacing w:after="0" w:line="240" w:lineRule="auto"/>
              <w:jc w:val="center"/>
              <w:rPr>
                <w:rFonts w:asciiTheme="majorHAnsi" w:eastAsia="Times New Roman" w:hAnsiTheme="majorHAnsi"/>
                <w:sz w:val="24"/>
                <w:szCs w:val="24"/>
                <w:lang w:eastAsia="bg-BG"/>
              </w:rPr>
            </w:pPr>
            <w:r w:rsidRPr="00AE5CD3">
              <w:rPr>
                <w:rFonts w:asciiTheme="majorHAnsi" w:eastAsia="Times New Roman" w:hAnsiTheme="majorHAnsi"/>
                <w:sz w:val="24"/>
                <w:szCs w:val="24"/>
                <w:lang w:eastAsia="bg-BG"/>
              </w:rPr>
              <w:t>30</w:t>
            </w:r>
          </w:p>
        </w:tc>
      </w:tr>
      <w:tr w:rsidR="00ED2529" w:rsidRPr="00AE5CD3" w:rsidTr="00602BCC">
        <w:trPr>
          <w:trHeight w:val="120"/>
        </w:trPr>
        <w:tc>
          <w:tcPr>
            <w:tcW w:w="4350" w:type="pct"/>
            <w:shd w:val="clear" w:color="auto" w:fill="auto"/>
          </w:tcPr>
          <w:p w:rsidR="00ED2529" w:rsidRPr="00AE5CD3" w:rsidRDefault="00ED2529" w:rsidP="008119B6">
            <w:pPr>
              <w:spacing w:after="0" w:line="240" w:lineRule="auto"/>
              <w:jc w:val="both"/>
              <w:rPr>
                <w:rFonts w:asciiTheme="majorHAnsi" w:eastAsia="Times New Roman" w:hAnsiTheme="majorHAnsi"/>
                <w:sz w:val="24"/>
                <w:szCs w:val="24"/>
                <w:lang w:eastAsia="bg-BG"/>
              </w:rPr>
            </w:pPr>
            <w:r w:rsidRPr="00AE5CD3">
              <w:rPr>
                <w:rFonts w:asciiTheme="majorHAnsi" w:eastAsia="Times New Roman" w:hAnsiTheme="majorHAnsi"/>
                <w:sz w:val="24"/>
                <w:szCs w:val="24"/>
                <w:lang w:eastAsia="bg-BG"/>
              </w:rPr>
              <w:t xml:space="preserve">2. Кандидатът развива дейност в някой от секторите от интензивните на </w:t>
            </w:r>
            <w:r w:rsidRPr="00AE5CD3">
              <w:rPr>
                <w:rFonts w:asciiTheme="majorHAnsi" w:eastAsia="Times New Roman" w:hAnsiTheme="majorHAnsi"/>
                <w:sz w:val="24"/>
                <w:szCs w:val="24"/>
                <w:lang w:eastAsia="bg-BG"/>
              </w:rPr>
              <w:lastRenderedPageBreak/>
              <w:t>знание услуги (съгласно Националната стратегия за насърчаване на малките и средните предприятия 2014-2020)</w:t>
            </w:r>
            <w:r w:rsidR="00CF567E" w:rsidRPr="00AE5CD3">
              <w:rPr>
                <w:rStyle w:val="ae"/>
                <w:rFonts w:asciiTheme="majorHAnsi" w:eastAsia="Times New Roman" w:hAnsiTheme="majorHAnsi"/>
                <w:sz w:val="24"/>
                <w:szCs w:val="24"/>
                <w:lang w:eastAsia="bg-BG"/>
              </w:rPr>
              <w:footnoteReference w:id="24"/>
            </w:r>
          </w:p>
        </w:tc>
        <w:tc>
          <w:tcPr>
            <w:tcW w:w="650" w:type="pct"/>
            <w:shd w:val="clear" w:color="auto" w:fill="auto"/>
          </w:tcPr>
          <w:p w:rsidR="00ED2529" w:rsidRPr="00AE5CD3" w:rsidRDefault="00ED2529" w:rsidP="008119B6">
            <w:pPr>
              <w:spacing w:after="0" w:line="240" w:lineRule="auto"/>
              <w:jc w:val="center"/>
              <w:rPr>
                <w:rFonts w:asciiTheme="majorHAnsi" w:eastAsia="Times New Roman" w:hAnsiTheme="majorHAnsi"/>
                <w:sz w:val="24"/>
                <w:szCs w:val="24"/>
                <w:lang w:eastAsia="bg-BG"/>
              </w:rPr>
            </w:pPr>
            <w:r w:rsidRPr="00AE5CD3">
              <w:rPr>
                <w:rFonts w:asciiTheme="majorHAnsi" w:eastAsia="Times New Roman" w:hAnsiTheme="majorHAnsi"/>
                <w:sz w:val="24"/>
                <w:szCs w:val="24"/>
                <w:lang w:eastAsia="bg-BG"/>
              </w:rPr>
              <w:lastRenderedPageBreak/>
              <w:t>10</w:t>
            </w:r>
          </w:p>
        </w:tc>
      </w:tr>
      <w:tr w:rsidR="005A1B22" w:rsidRPr="00AE5CD3" w:rsidTr="00602BCC">
        <w:trPr>
          <w:trHeight w:val="292"/>
        </w:trPr>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8119B6">
            <w:pPr>
              <w:autoSpaceDE w:val="0"/>
              <w:autoSpaceDN w:val="0"/>
              <w:adjustRightInd w:val="0"/>
              <w:spacing w:after="0" w:line="240" w:lineRule="auto"/>
              <w:jc w:val="both"/>
              <w:rPr>
                <w:rFonts w:asciiTheme="majorHAnsi" w:hAnsiTheme="majorHAnsi"/>
                <w:b/>
                <w:color w:val="000000"/>
                <w:sz w:val="24"/>
                <w:szCs w:val="24"/>
              </w:rPr>
            </w:pPr>
            <w:r w:rsidRPr="00AE5CD3">
              <w:rPr>
                <w:rFonts w:asciiTheme="majorHAnsi" w:hAnsiTheme="majorHAnsi"/>
                <w:b/>
                <w:color w:val="000000"/>
                <w:sz w:val="24"/>
                <w:szCs w:val="24"/>
              </w:rPr>
              <w:lastRenderedPageBreak/>
              <w:t xml:space="preserve">Максимален брой точки: </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5A1B22" w:rsidP="008119B6">
            <w:pPr>
              <w:autoSpaceDE w:val="0"/>
              <w:autoSpaceDN w:val="0"/>
              <w:adjustRightInd w:val="0"/>
              <w:spacing w:after="0" w:line="240" w:lineRule="auto"/>
              <w:jc w:val="center"/>
              <w:rPr>
                <w:rFonts w:asciiTheme="majorHAnsi" w:hAnsiTheme="majorHAnsi"/>
                <w:b/>
                <w:color w:val="000000"/>
                <w:sz w:val="24"/>
                <w:szCs w:val="24"/>
              </w:rPr>
            </w:pPr>
            <w:r w:rsidRPr="00AE5CD3">
              <w:rPr>
                <w:rFonts w:asciiTheme="majorHAnsi" w:hAnsiTheme="majorHAnsi"/>
                <w:b/>
                <w:color w:val="000000"/>
                <w:sz w:val="24"/>
                <w:szCs w:val="24"/>
              </w:rPr>
              <w:t>100</w:t>
            </w:r>
          </w:p>
        </w:tc>
      </w:tr>
      <w:tr w:rsidR="005A1B22" w:rsidRPr="00AE5CD3" w:rsidTr="00602BCC">
        <w:trPr>
          <w:trHeight w:val="292"/>
        </w:trPr>
        <w:tc>
          <w:tcPr>
            <w:tcW w:w="4350" w:type="pct"/>
            <w:tcBorders>
              <w:top w:val="single" w:sz="4" w:space="0" w:color="auto"/>
              <w:left w:val="single" w:sz="4" w:space="0" w:color="auto"/>
              <w:bottom w:val="single" w:sz="4" w:space="0" w:color="auto"/>
              <w:right w:val="single" w:sz="4" w:space="0" w:color="auto"/>
            </w:tcBorders>
            <w:shd w:val="clear" w:color="auto" w:fill="auto"/>
          </w:tcPr>
          <w:p w:rsidR="005A1B22" w:rsidRPr="00AE5CD3" w:rsidRDefault="005A1B22" w:rsidP="00B867B7">
            <w:pPr>
              <w:spacing w:line="240" w:lineRule="auto"/>
              <w:jc w:val="both"/>
              <w:rPr>
                <w:rFonts w:asciiTheme="majorHAnsi" w:hAnsiTheme="majorHAnsi"/>
                <w:b/>
                <w:color w:val="000000"/>
                <w:sz w:val="24"/>
                <w:szCs w:val="24"/>
              </w:rPr>
            </w:pPr>
            <w:r w:rsidRPr="00AE5CD3">
              <w:rPr>
                <w:rFonts w:asciiTheme="majorHAnsi" w:eastAsia="Times New Roman" w:hAnsiTheme="majorHAnsi"/>
                <w:i/>
                <w:color w:val="000000"/>
                <w:sz w:val="24"/>
              </w:rPr>
              <w:t xml:space="preserve">* Забележка: Точките по специфичните критерии за оценка от СВОМР на МИГ </w:t>
            </w:r>
            <w:r w:rsidR="00ED2529" w:rsidRPr="00AE5CD3">
              <w:rPr>
                <w:rFonts w:asciiTheme="majorHAnsi" w:eastAsia="Times New Roman" w:hAnsiTheme="majorHAnsi"/>
                <w:i/>
                <w:color w:val="000000"/>
                <w:sz w:val="24"/>
              </w:rPr>
              <w:t>Кирково-Златоград</w:t>
            </w:r>
            <w:r w:rsidRPr="00AE5CD3">
              <w:rPr>
                <w:rFonts w:asciiTheme="majorHAnsi" w:eastAsia="Times New Roman" w:hAnsiTheme="majorHAnsi"/>
                <w:i/>
                <w:color w:val="000000"/>
                <w:sz w:val="24"/>
              </w:rPr>
              <w:t xml:space="preserve">  са преизчислени с тежест 40 % в общата оценка.</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A1B22" w:rsidRPr="00AE5CD3" w:rsidRDefault="005A1B22" w:rsidP="008119B6">
            <w:pPr>
              <w:autoSpaceDE w:val="0"/>
              <w:autoSpaceDN w:val="0"/>
              <w:adjustRightInd w:val="0"/>
              <w:spacing w:after="0" w:line="240" w:lineRule="auto"/>
              <w:jc w:val="center"/>
              <w:rPr>
                <w:rFonts w:asciiTheme="majorHAnsi" w:hAnsiTheme="majorHAnsi"/>
                <w:b/>
                <w:color w:val="000000"/>
                <w:sz w:val="24"/>
                <w:szCs w:val="24"/>
              </w:rPr>
            </w:pPr>
          </w:p>
        </w:tc>
      </w:tr>
    </w:tbl>
    <w:p w:rsidR="00E25CAD" w:rsidRDefault="005A1B22" w:rsidP="008119B6">
      <w:pPr>
        <w:pBdr>
          <w:top w:val="single" w:sz="4" w:space="1" w:color="auto"/>
          <w:left w:val="single" w:sz="4" w:space="1" w:color="auto"/>
          <w:bottom w:val="single" w:sz="4" w:space="1" w:color="auto"/>
          <w:right w:val="single" w:sz="4" w:space="4" w:color="auto"/>
        </w:pBdr>
        <w:spacing w:before="120" w:after="120" w:line="240" w:lineRule="auto"/>
        <w:jc w:val="both"/>
        <w:rPr>
          <w:rFonts w:asciiTheme="majorHAnsi" w:hAnsiTheme="majorHAnsi"/>
          <w:b/>
          <w:sz w:val="24"/>
          <w:szCs w:val="24"/>
        </w:rPr>
      </w:pPr>
      <w:r w:rsidRPr="00AE5CD3">
        <w:rPr>
          <w:rFonts w:asciiTheme="majorHAnsi" w:hAnsiTheme="majorHAnsi"/>
          <w:b/>
          <w:sz w:val="24"/>
          <w:szCs w:val="24"/>
        </w:rPr>
        <w:t xml:space="preserve">ВАЖНО: </w:t>
      </w:r>
      <w:r w:rsidR="00E25CAD" w:rsidRPr="00E25CAD">
        <w:rPr>
          <w:rFonts w:asciiTheme="majorHAnsi" w:hAnsiTheme="majorHAnsi"/>
          <w:b/>
          <w:sz w:val="24"/>
          <w:szCs w:val="24"/>
        </w:rPr>
        <w:t>В случай, че проектното предложение получи по-малко от 20% за някой раздел (по-малко от 3,8 точки за Раздел I; по-малко от 1.2 точки за Раздел II; по-малко от 2 точки за Раздел III; по-малко от 3 точки за Раздел IV; по-малко от 2 точки за Раздел V; по-малко от 8  точки за Раздел VI)  или  по-малко от 30 точки на етап Техническа и финансова оценка, то се отхвърля!</w:t>
      </w:r>
      <w:r w:rsidR="00E25CAD">
        <w:rPr>
          <w:rFonts w:asciiTheme="majorHAnsi" w:hAnsiTheme="majorHAnsi"/>
          <w:b/>
          <w:sz w:val="24"/>
          <w:szCs w:val="24"/>
        </w:rPr>
        <w:t xml:space="preserve"> </w:t>
      </w:r>
    </w:p>
    <w:p w:rsidR="005A1B22" w:rsidRPr="00AE5CD3" w:rsidRDefault="005A1B22" w:rsidP="008119B6">
      <w:pPr>
        <w:pBdr>
          <w:top w:val="single" w:sz="4" w:space="1" w:color="auto"/>
          <w:left w:val="single" w:sz="4" w:space="1" w:color="auto"/>
          <w:bottom w:val="single" w:sz="4" w:space="1" w:color="auto"/>
          <w:right w:val="single" w:sz="4" w:space="4" w:color="auto"/>
        </w:pBdr>
        <w:spacing w:before="120" w:after="120" w:line="240" w:lineRule="auto"/>
        <w:jc w:val="both"/>
        <w:rPr>
          <w:rFonts w:asciiTheme="majorHAnsi" w:hAnsiTheme="majorHAnsi"/>
          <w:sz w:val="24"/>
          <w:szCs w:val="24"/>
        </w:rPr>
      </w:pPr>
      <w:r w:rsidRPr="00AE5CD3">
        <w:rPr>
          <w:rFonts w:asciiTheme="majorHAnsi" w:hAnsiTheme="majorHAnsi"/>
          <w:sz w:val="24"/>
          <w:szCs w:val="24"/>
        </w:rPr>
        <w:t xml:space="preserve">Проектните предложения, получили минимум 20% от </w:t>
      </w:r>
      <w:r w:rsidR="003F2254" w:rsidRPr="00AE5CD3">
        <w:rPr>
          <w:rFonts w:asciiTheme="majorHAnsi" w:hAnsiTheme="majorHAnsi"/>
          <w:sz w:val="24"/>
          <w:szCs w:val="24"/>
        </w:rPr>
        <w:t xml:space="preserve">всеки </w:t>
      </w:r>
      <w:r w:rsidRPr="00AE5CD3">
        <w:rPr>
          <w:rFonts w:asciiTheme="majorHAnsi" w:hAnsiTheme="majorHAnsi"/>
          <w:sz w:val="24"/>
          <w:szCs w:val="24"/>
        </w:rPr>
        <w:t>раздел</w:t>
      </w:r>
      <w:r w:rsidR="00F87B6D">
        <w:rPr>
          <w:rFonts w:asciiTheme="majorHAnsi" w:hAnsiTheme="majorHAnsi"/>
          <w:sz w:val="24"/>
          <w:szCs w:val="24"/>
        </w:rPr>
        <w:t xml:space="preserve"> </w:t>
      </w:r>
      <w:r w:rsidR="00061B0B">
        <w:rPr>
          <w:rFonts w:asciiTheme="majorHAnsi" w:hAnsiTheme="majorHAnsi"/>
          <w:sz w:val="24"/>
          <w:szCs w:val="24"/>
        </w:rPr>
        <w:t xml:space="preserve"> </w:t>
      </w:r>
      <w:r w:rsidR="002505B4" w:rsidRPr="00AE5CD3">
        <w:rPr>
          <w:rFonts w:asciiTheme="majorHAnsi" w:hAnsiTheme="majorHAnsi"/>
          <w:b/>
          <w:sz w:val="24"/>
          <w:szCs w:val="24"/>
        </w:rPr>
        <w:t>и</w:t>
      </w:r>
      <w:r w:rsidR="002505B4" w:rsidRPr="00AE5CD3">
        <w:rPr>
          <w:rFonts w:asciiTheme="majorHAnsi" w:hAnsiTheme="majorHAnsi"/>
          <w:sz w:val="24"/>
          <w:szCs w:val="24"/>
        </w:rPr>
        <w:t xml:space="preserve"> минимум 30 точки на етап Техническа и финансова оценка, </w:t>
      </w:r>
      <w:r w:rsidRPr="00AE5CD3">
        <w:rPr>
          <w:rFonts w:asciiTheme="majorHAnsi" w:hAnsiTheme="majorHAnsi"/>
          <w:sz w:val="24"/>
          <w:szCs w:val="24"/>
        </w:rPr>
        <w:t>се класират в низходящ ред съобразно получената оценка, като за финансиране се предлагат всички или част от проектите по реда на класирането до покриване на общия размер на бюджета по процедурата.</w:t>
      </w:r>
      <w:r w:rsidR="002505B4" w:rsidRPr="00AE5CD3">
        <w:rPr>
          <w:rFonts w:asciiTheme="majorHAnsi" w:hAnsiTheme="majorHAnsi"/>
          <w:sz w:val="24"/>
          <w:szCs w:val="24"/>
        </w:rPr>
        <w:t xml:space="preserve"> В случай че проектното предложение получи „0” точки по критерий „Реалистичност на разходите по проекта”, то се отхвърля!</w:t>
      </w:r>
    </w:p>
    <w:p w:rsidR="0040263C" w:rsidRPr="00AE5CD3" w:rsidRDefault="005A1B22" w:rsidP="008119B6">
      <w:pPr>
        <w:pStyle w:val="aa"/>
        <w:pBdr>
          <w:top w:val="single" w:sz="4" w:space="1" w:color="auto"/>
          <w:left w:val="single" w:sz="4" w:space="1"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За проектни предложения, които са получили </w:t>
      </w:r>
      <w:r w:rsidRPr="00AE5CD3">
        <w:rPr>
          <w:rFonts w:asciiTheme="majorHAnsi" w:hAnsiTheme="majorHAnsi"/>
          <w:sz w:val="24"/>
          <w:szCs w:val="24"/>
          <w:u w:val="single"/>
        </w:rPr>
        <w:t xml:space="preserve">еднакъв </w:t>
      </w:r>
      <w:r w:rsidRPr="00AE5CD3">
        <w:rPr>
          <w:rFonts w:asciiTheme="majorHAnsi" w:hAnsiTheme="majorHAnsi"/>
          <w:sz w:val="24"/>
          <w:szCs w:val="24"/>
        </w:rPr>
        <w:t xml:space="preserve">средноаритметичен брой точки на етап „Техническа и финансова оценка“, класирането ще се извърши по следния начин: </w:t>
      </w:r>
    </w:p>
    <w:p w:rsidR="0040263C" w:rsidRPr="00AE5CD3" w:rsidRDefault="0040263C" w:rsidP="008119B6">
      <w:pPr>
        <w:pStyle w:val="aa"/>
        <w:pBdr>
          <w:top w:val="single" w:sz="4" w:space="1" w:color="auto"/>
          <w:left w:val="single" w:sz="4" w:space="1"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1. </w:t>
      </w:r>
      <w:r w:rsidR="005A1B22" w:rsidRPr="00AE5CD3">
        <w:rPr>
          <w:rFonts w:asciiTheme="majorHAnsi" w:hAnsiTheme="majorHAnsi"/>
          <w:sz w:val="24"/>
          <w:szCs w:val="24"/>
        </w:rPr>
        <w:t xml:space="preserve">Проектните предложения ще бъдат класирани съобразно получения брой точки по раздел I. </w:t>
      </w:r>
    </w:p>
    <w:p w:rsidR="0040263C" w:rsidRPr="00AE5CD3" w:rsidRDefault="0040263C" w:rsidP="008119B6">
      <w:pPr>
        <w:pStyle w:val="aa"/>
        <w:pBdr>
          <w:top w:val="single" w:sz="4" w:space="1" w:color="auto"/>
          <w:left w:val="single" w:sz="4" w:space="1"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2. </w:t>
      </w:r>
      <w:r w:rsidR="005A1B22" w:rsidRPr="00AE5CD3">
        <w:rPr>
          <w:rFonts w:asciiTheme="majorHAnsi" w:hAnsiTheme="majorHAnsi"/>
          <w:sz w:val="24"/>
          <w:szCs w:val="24"/>
        </w:rPr>
        <w:t xml:space="preserve">В случай че проектните предложения имат равен брой точки по посочения раздел, същите ще бъдат класирани съобразно получения брой точки по раздел </w:t>
      </w:r>
      <w:r w:rsidR="00AD1459" w:rsidRPr="00AE5CD3">
        <w:rPr>
          <w:rFonts w:asciiTheme="majorHAnsi" w:hAnsiTheme="majorHAnsi"/>
          <w:sz w:val="24"/>
          <w:szCs w:val="24"/>
        </w:rPr>
        <w:t>V</w:t>
      </w:r>
      <w:r w:rsidR="005A1B22" w:rsidRPr="00AE5CD3">
        <w:rPr>
          <w:rFonts w:asciiTheme="majorHAnsi" w:hAnsiTheme="majorHAnsi"/>
          <w:sz w:val="24"/>
          <w:szCs w:val="24"/>
        </w:rPr>
        <w:t xml:space="preserve">. </w:t>
      </w:r>
    </w:p>
    <w:p w:rsidR="0040263C" w:rsidRPr="00AE5CD3" w:rsidRDefault="0040263C" w:rsidP="008119B6">
      <w:pPr>
        <w:pStyle w:val="aa"/>
        <w:pBdr>
          <w:top w:val="single" w:sz="4" w:space="1" w:color="auto"/>
          <w:left w:val="single" w:sz="4" w:space="1"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3. </w:t>
      </w:r>
      <w:r w:rsidR="005A1B22" w:rsidRPr="00AE5CD3">
        <w:rPr>
          <w:rFonts w:asciiTheme="majorHAnsi" w:hAnsiTheme="majorHAnsi"/>
          <w:sz w:val="24"/>
          <w:szCs w:val="24"/>
        </w:rPr>
        <w:t xml:space="preserve">В случай че проектните предложения имат равен брой точки и по този раздел същите ще бъдат класирани съобразно получения брой точки по раздел III. </w:t>
      </w:r>
    </w:p>
    <w:p w:rsidR="005A1B22" w:rsidRPr="00AE5CD3" w:rsidRDefault="0040263C" w:rsidP="008119B6">
      <w:pPr>
        <w:pStyle w:val="aa"/>
        <w:pBdr>
          <w:top w:val="single" w:sz="4" w:space="1" w:color="auto"/>
          <w:left w:val="single" w:sz="4" w:space="1"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4. </w:t>
      </w:r>
      <w:r w:rsidR="005A1B22" w:rsidRPr="00AE5CD3">
        <w:rPr>
          <w:rFonts w:asciiTheme="majorHAnsi" w:hAnsiTheme="majorHAnsi"/>
          <w:sz w:val="24"/>
          <w:szCs w:val="24"/>
        </w:rPr>
        <w:t xml:space="preserve">В случай че проектните предложения имат равен брой точки и по този раздел същите ще бъдат класирани съобразно получения брой точки по раздел </w:t>
      </w:r>
      <w:r w:rsidR="00AD1459" w:rsidRPr="00AE5CD3">
        <w:rPr>
          <w:rFonts w:asciiTheme="majorHAnsi" w:hAnsiTheme="majorHAnsi"/>
          <w:sz w:val="24"/>
          <w:szCs w:val="24"/>
        </w:rPr>
        <w:t>„VI. Специфични за територията и местната общност критерии”.</w:t>
      </w:r>
    </w:p>
    <w:p w:rsidR="005A1B22" w:rsidRPr="00AE5CD3" w:rsidRDefault="0040263C" w:rsidP="008119B6">
      <w:pPr>
        <w:pStyle w:val="aa"/>
        <w:pBdr>
          <w:top w:val="single" w:sz="4" w:space="1" w:color="auto"/>
          <w:left w:val="single" w:sz="4" w:space="1"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5. В</w:t>
      </w:r>
      <w:r w:rsidR="005A1B22" w:rsidRPr="00AE5CD3">
        <w:rPr>
          <w:rFonts w:asciiTheme="majorHAnsi" w:hAnsiTheme="majorHAnsi"/>
          <w:sz w:val="24"/>
          <w:szCs w:val="24"/>
        </w:rPr>
        <w:t xml:space="preserve"> случай, че проектните предложения имат равен брой точки </w:t>
      </w:r>
      <w:r w:rsidRPr="00AE5CD3">
        <w:rPr>
          <w:rFonts w:asciiTheme="majorHAnsi" w:hAnsiTheme="majorHAnsi"/>
          <w:sz w:val="24"/>
          <w:szCs w:val="24"/>
        </w:rPr>
        <w:t xml:space="preserve"> и </w:t>
      </w:r>
      <w:r w:rsidR="005A1B22" w:rsidRPr="00AE5CD3">
        <w:rPr>
          <w:rFonts w:asciiTheme="majorHAnsi" w:hAnsiTheme="majorHAnsi"/>
          <w:sz w:val="24"/>
          <w:szCs w:val="24"/>
        </w:rPr>
        <w:t xml:space="preserve">по посочения раздел, същите ще бъдат класирани съобразно получения брой точки по раздел </w:t>
      </w:r>
      <w:r w:rsidR="00AD1459" w:rsidRPr="00AE5CD3">
        <w:rPr>
          <w:rFonts w:asciiTheme="majorHAnsi" w:hAnsiTheme="majorHAnsi"/>
          <w:sz w:val="24"/>
          <w:szCs w:val="24"/>
        </w:rPr>
        <w:t>II.</w:t>
      </w:r>
    </w:p>
    <w:p w:rsidR="005A1B22" w:rsidRPr="00AE5CD3" w:rsidRDefault="0040263C" w:rsidP="008119B6">
      <w:pPr>
        <w:pStyle w:val="aa"/>
        <w:pBdr>
          <w:top w:val="single" w:sz="4" w:space="1" w:color="auto"/>
          <w:left w:val="single" w:sz="4" w:space="1"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6. </w:t>
      </w:r>
      <w:r w:rsidR="005A1B22" w:rsidRPr="00AE5CD3">
        <w:rPr>
          <w:rFonts w:asciiTheme="majorHAnsi" w:hAnsiTheme="majorHAnsi"/>
          <w:sz w:val="24"/>
          <w:szCs w:val="24"/>
        </w:rPr>
        <w:t xml:space="preserve">В случай, че има равенство по всички гореизброени показатели, проектните предложения ще бъдат класирани по реда на подаването на проектните предложения в ИСУН 2020.           </w:t>
      </w:r>
    </w:p>
    <w:p w:rsidR="005A1B22" w:rsidRPr="00AE5CD3" w:rsidRDefault="005A1B22" w:rsidP="008119B6">
      <w:pPr>
        <w:pStyle w:val="20"/>
        <w:spacing w:before="0" w:line="240" w:lineRule="auto"/>
        <w:rPr>
          <w:rFonts w:asciiTheme="majorHAnsi" w:hAnsiTheme="majorHAnsi"/>
        </w:rPr>
      </w:pPr>
      <w:bookmarkStart w:id="135" w:name="_Toc476823165"/>
      <w:bookmarkStart w:id="136" w:name="_Toc514333722"/>
      <w:bookmarkStart w:id="137" w:name="_Toc514334562"/>
      <w:bookmarkStart w:id="138" w:name="_Toc514334654"/>
      <w:r w:rsidRPr="00AE5CD3">
        <w:rPr>
          <w:rFonts w:asciiTheme="majorHAnsi" w:hAnsiTheme="majorHAnsi"/>
        </w:rPr>
        <w:t>23. Начин на подаване на проектните предложения</w:t>
      </w:r>
      <w:bookmarkEnd w:id="135"/>
      <w:bookmarkEnd w:id="136"/>
      <w:bookmarkEnd w:id="137"/>
      <w:bookmarkEnd w:id="138"/>
    </w:p>
    <w:p w:rsidR="003C15A3" w:rsidRPr="003C15A3" w:rsidRDefault="003C15A3" w:rsidP="003C15A3">
      <w:pPr>
        <w:pStyle w:val="afd"/>
        <w:pBdr>
          <w:top w:val="single" w:sz="4" w:space="1" w:color="auto"/>
          <w:left w:val="single" w:sz="4" w:space="4" w:color="auto"/>
          <w:bottom w:val="single" w:sz="4" w:space="1" w:color="auto"/>
          <w:right w:val="single" w:sz="4" w:space="4" w:color="auto"/>
        </w:pBdr>
        <w:ind w:firstLine="426"/>
        <w:jc w:val="both"/>
        <w:rPr>
          <w:rFonts w:asciiTheme="majorHAnsi" w:hAnsiTheme="majorHAnsi"/>
          <w:lang w:val="bg-BG"/>
        </w:rPr>
      </w:pPr>
      <w:r>
        <w:rPr>
          <w:rFonts w:asciiTheme="majorHAnsi" w:hAnsiTheme="majorHAnsi"/>
          <w:lang w:val="bg-BG"/>
        </w:rPr>
        <w:t xml:space="preserve">Проектното </w:t>
      </w:r>
      <w:r w:rsidRPr="003C15A3">
        <w:rPr>
          <w:rFonts w:asciiTheme="majorHAnsi" w:hAnsiTheme="majorHAnsi"/>
          <w:lang w:val="bg-BG"/>
        </w:rPr>
        <w:t>предложени</w:t>
      </w:r>
      <w:r>
        <w:rPr>
          <w:rFonts w:asciiTheme="majorHAnsi" w:hAnsiTheme="majorHAnsi"/>
          <w:lang w:val="bg-BG"/>
        </w:rPr>
        <w:t xml:space="preserve">е </w:t>
      </w:r>
      <w:r w:rsidRPr="003C15A3">
        <w:rPr>
          <w:rFonts w:asciiTheme="majorHAnsi" w:hAnsiTheme="majorHAnsi"/>
          <w:lang w:val="bg-BG"/>
        </w:rPr>
        <w:t>се подава от кандидата, от лице с право да представлява кандидата</w:t>
      </w:r>
      <w:r w:rsidR="00B65D41" w:rsidRPr="00AE5CD3">
        <w:rPr>
          <w:rStyle w:val="ae"/>
          <w:rFonts w:asciiTheme="majorHAnsi" w:hAnsiTheme="majorHAnsi"/>
          <w:lang w:val="bg-BG"/>
        </w:rPr>
        <w:footnoteReference w:id="25"/>
      </w:r>
      <w:r w:rsidRPr="003C15A3">
        <w:rPr>
          <w:rFonts w:asciiTheme="majorHAnsi" w:hAnsiTheme="majorHAnsi"/>
          <w:lang w:val="bg-BG"/>
        </w:rPr>
        <w:t xml:space="preserve">  или от упълномощено от него лице</w:t>
      </w:r>
      <w:r w:rsidR="00B65D41" w:rsidRPr="00AE5CD3">
        <w:rPr>
          <w:rStyle w:val="ae"/>
          <w:rFonts w:asciiTheme="majorHAnsi" w:hAnsiTheme="majorHAnsi"/>
          <w:lang w:val="bg-BG"/>
        </w:rPr>
        <w:footnoteReference w:id="26"/>
      </w:r>
      <w:r>
        <w:rPr>
          <w:rFonts w:asciiTheme="majorHAnsi" w:hAnsiTheme="majorHAnsi"/>
          <w:lang w:val="bg-BG"/>
        </w:rPr>
        <w:t>,</w:t>
      </w:r>
      <w:r w:rsidRPr="003C15A3">
        <w:rPr>
          <w:rFonts w:asciiTheme="majorHAnsi" w:hAnsiTheme="majorHAnsi"/>
          <w:lang w:val="bg-BG"/>
        </w:rPr>
        <w:t xml:space="preserve">  единствено и изцяло по електронен </w:t>
      </w:r>
      <w:r w:rsidRPr="003C15A3">
        <w:rPr>
          <w:rFonts w:asciiTheme="majorHAnsi" w:hAnsiTheme="majorHAnsi"/>
          <w:lang w:val="bg-BG"/>
        </w:rPr>
        <w:lastRenderedPageBreak/>
        <w:t>път</w:t>
      </w:r>
      <w:r>
        <w:rPr>
          <w:rFonts w:asciiTheme="majorHAnsi" w:hAnsiTheme="majorHAnsi"/>
          <w:lang w:val="bg-BG"/>
        </w:rPr>
        <w:t xml:space="preserve">  чрез  </w:t>
      </w:r>
      <w:r w:rsidRPr="00AE5CD3">
        <w:rPr>
          <w:rFonts w:asciiTheme="majorHAnsi" w:hAnsiTheme="majorHAnsi"/>
          <w:b/>
          <w:lang w:val="bg-BG"/>
        </w:rPr>
        <w:t>Информационната система за управление и наблюдение на Структурните инструменти на ЕС в България (ИСУН 2020)</w:t>
      </w:r>
      <w:r>
        <w:rPr>
          <w:rFonts w:asciiTheme="majorHAnsi" w:hAnsiTheme="majorHAnsi"/>
          <w:b/>
          <w:lang w:val="bg-BG"/>
        </w:rPr>
        <w:t xml:space="preserve">, </w:t>
      </w:r>
      <w:r w:rsidRPr="003C15A3">
        <w:rPr>
          <w:rFonts w:asciiTheme="majorHAnsi" w:hAnsiTheme="majorHAnsi"/>
          <w:lang w:val="bg-BG"/>
        </w:rPr>
        <w:t xml:space="preserve">модула „Е-кандидатстване“ на следния интернет адрес: </w:t>
      </w:r>
      <w:hyperlink r:id="rId18" w:history="1">
        <w:r w:rsidRPr="00C51B9C">
          <w:rPr>
            <w:rStyle w:val="af3"/>
            <w:rFonts w:asciiTheme="majorHAnsi" w:hAnsiTheme="majorHAnsi"/>
            <w:lang w:val="bg-BG"/>
          </w:rPr>
          <w:t>https://eumis2020.government.bg</w:t>
        </w:r>
      </w:hyperlink>
      <w:r>
        <w:rPr>
          <w:rFonts w:asciiTheme="majorHAnsi" w:hAnsiTheme="majorHAnsi"/>
          <w:lang w:val="bg-BG"/>
        </w:rPr>
        <w:t xml:space="preserve"> . Кандидатът </w:t>
      </w:r>
      <w:r w:rsidRPr="003C15A3">
        <w:rPr>
          <w:rFonts w:asciiTheme="majorHAnsi" w:hAnsiTheme="majorHAnsi"/>
          <w:lang w:val="bg-BG"/>
        </w:rPr>
        <w:t>попълва уеб базиран Формуляр за кандидатстване в ИСУН 2020.</w:t>
      </w:r>
      <w:r w:rsidR="00675D84">
        <w:rPr>
          <w:rFonts w:asciiTheme="majorHAnsi" w:hAnsiTheme="majorHAnsi"/>
          <w:lang w:val="bg-BG"/>
        </w:rPr>
        <w:t xml:space="preserve"> </w:t>
      </w:r>
      <w:r w:rsidRPr="003C15A3">
        <w:rPr>
          <w:rFonts w:asciiTheme="majorHAnsi" w:hAnsiTheme="majorHAnsi"/>
          <w:lang w:val="bg-BG"/>
        </w:rPr>
        <w:t xml:space="preserve">Формулярът за кандидатстване се подписва с валиден Квалифициран електронен подпис (КЕП). </w:t>
      </w:r>
    </w:p>
    <w:p w:rsidR="003C15A3" w:rsidRPr="003C15A3" w:rsidRDefault="003C15A3" w:rsidP="003C15A3">
      <w:pPr>
        <w:pStyle w:val="afd"/>
        <w:pBdr>
          <w:top w:val="single" w:sz="4" w:space="1" w:color="auto"/>
          <w:left w:val="single" w:sz="4" w:space="4" w:color="auto"/>
          <w:bottom w:val="single" w:sz="4" w:space="1" w:color="auto"/>
          <w:right w:val="single" w:sz="4" w:space="4" w:color="auto"/>
        </w:pBdr>
        <w:ind w:firstLine="426"/>
        <w:jc w:val="both"/>
        <w:rPr>
          <w:rFonts w:asciiTheme="majorHAnsi" w:hAnsiTheme="majorHAnsi"/>
          <w:lang w:val="bg-BG"/>
        </w:rPr>
      </w:pPr>
      <w:r w:rsidRPr="003C15A3">
        <w:rPr>
          <w:rFonts w:asciiTheme="majorHAnsi" w:hAnsiTheme="majorHAnsi"/>
          <w:lang w:val="bg-BG"/>
        </w:rPr>
        <w:t xml:space="preserve">ВАЖНО:Проектното предложение се подава електронно чрез ИСУН 2020 като се подписва с КЕП от лицето с право да представлява кандидата или упълномощено от него лице. В случаите, когато кандидатът се представлява заедно от няколко физически лица, проектното предложение се подписва от всяко от тях при подаването. </w:t>
      </w:r>
    </w:p>
    <w:p w:rsidR="003C15A3" w:rsidRPr="003C15A3" w:rsidRDefault="003C15A3" w:rsidP="003C15A3">
      <w:pPr>
        <w:pStyle w:val="afd"/>
        <w:pBdr>
          <w:top w:val="single" w:sz="4" w:space="1" w:color="auto"/>
          <w:left w:val="single" w:sz="4" w:space="4" w:color="auto"/>
          <w:bottom w:val="single" w:sz="4" w:space="1" w:color="auto"/>
          <w:right w:val="single" w:sz="4" w:space="4" w:color="auto"/>
        </w:pBdr>
        <w:ind w:firstLine="426"/>
        <w:jc w:val="both"/>
        <w:rPr>
          <w:rFonts w:asciiTheme="majorHAnsi" w:hAnsiTheme="majorHAnsi"/>
          <w:lang w:val="bg-BG"/>
        </w:rPr>
      </w:pPr>
      <w:r w:rsidRPr="003C15A3">
        <w:rPr>
          <w:rFonts w:asciiTheme="majorHAnsi" w:hAnsiTheme="majorHAnsi"/>
          <w:lang w:val="bg-BG"/>
        </w:rPr>
        <w:t>В случай</w:t>
      </w:r>
      <w:r w:rsidR="00B65D41">
        <w:rPr>
          <w:rFonts w:asciiTheme="majorHAnsi" w:hAnsiTheme="majorHAnsi"/>
          <w:lang w:val="bg-BG"/>
        </w:rPr>
        <w:t xml:space="preserve">, </w:t>
      </w:r>
      <w:r w:rsidRPr="003C15A3">
        <w:rPr>
          <w:rFonts w:asciiTheme="majorHAnsi" w:hAnsiTheme="majorHAnsi"/>
          <w:lang w:val="bg-BG"/>
        </w:rPr>
        <w:t>че кандидатите желаят да упълномощят лице, което не е официален представител на предприятието, да подаде проектното предложение с КЕП, следва да  се прикачи в ИСУН 2020 пълномощно, подписано и датирано на хартиен носител от лице с право да представлява кандидата, а в случай че кандидатът се представлява заедно от няколко физически лица, пълномощното се подписва и датира на хартиен носител от всички от тях и се прикачва в ИСУН 2020. От текста на пълномощното следва да става ясно, че лицето/лицата с право да представляват кандидата упълномощават пълномощника да подаде от тяхно име проектното предложение.</w:t>
      </w:r>
    </w:p>
    <w:p w:rsidR="003C15A3" w:rsidRPr="003C15A3" w:rsidRDefault="003C15A3" w:rsidP="003C15A3">
      <w:pPr>
        <w:pStyle w:val="afd"/>
        <w:pBdr>
          <w:top w:val="single" w:sz="4" w:space="1" w:color="auto"/>
          <w:left w:val="single" w:sz="4" w:space="4" w:color="auto"/>
          <w:bottom w:val="single" w:sz="4" w:space="1" w:color="auto"/>
          <w:right w:val="single" w:sz="4" w:space="4" w:color="auto"/>
        </w:pBdr>
        <w:ind w:firstLine="426"/>
        <w:jc w:val="both"/>
        <w:rPr>
          <w:rFonts w:asciiTheme="majorHAnsi" w:hAnsiTheme="majorHAnsi"/>
          <w:lang w:val="bg-BG"/>
        </w:rPr>
      </w:pPr>
      <w:r w:rsidRPr="003C15A3">
        <w:rPr>
          <w:rFonts w:asciiTheme="majorHAnsi" w:hAnsiTheme="majorHAnsi"/>
          <w:lang w:val="bg-BG"/>
        </w:rPr>
        <w:t xml:space="preserve">Подготовката и подаването на проектното предложение в ИСУН 2020 се извършва по следния начин: Кандидатът влиза в ИСУН 2020, след регистрация чрез  имейл и парола, избира настоящата процедура за кандидатстване, обявена от </w:t>
      </w:r>
      <w:r w:rsidR="00B65D41">
        <w:rPr>
          <w:rFonts w:asciiTheme="majorHAnsi" w:hAnsiTheme="majorHAnsi"/>
          <w:lang w:val="bg-BG"/>
        </w:rPr>
        <w:t>„</w:t>
      </w:r>
      <w:r w:rsidRPr="003C15A3">
        <w:rPr>
          <w:rFonts w:asciiTheme="majorHAnsi" w:hAnsiTheme="majorHAnsi"/>
          <w:lang w:val="bg-BG"/>
        </w:rPr>
        <w:t xml:space="preserve">МИГ </w:t>
      </w:r>
      <w:r w:rsidR="00B65D41">
        <w:rPr>
          <w:rFonts w:asciiTheme="majorHAnsi" w:hAnsiTheme="majorHAnsi"/>
          <w:lang w:val="bg-BG"/>
        </w:rPr>
        <w:t>Кирково-Златоград”</w:t>
      </w:r>
      <w:r w:rsidRPr="003C15A3">
        <w:rPr>
          <w:rFonts w:asciiTheme="majorHAnsi" w:hAnsiTheme="majorHAnsi"/>
          <w:lang w:val="bg-BG"/>
        </w:rPr>
        <w:t>, от меню „Отворени процедури“ и създаване на ново проектно предложение.</w:t>
      </w:r>
    </w:p>
    <w:p w:rsidR="003C15A3" w:rsidRPr="003C15A3" w:rsidRDefault="003C15A3" w:rsidP="003C15A3">
      <w:pPr>
        <w:pStyle w:val="afd"/>
        <w:pBdr>
          <w:top w:val="single" w:sz="4" w:space="1" w:color="auto"/>
          <w:left w:val="single" w:sz="4" w:space="4" w:color="auto"/>
          <w:bottom w:val="single" w:sz="4" w:space="1" w:color="auto"/>
          <w:right w:val="single" w:sz="4" w:space="4" w:color="auto"/>
        </w:pBdr>
        <w:ind w:firstLine="426"/>
        <w:jc w:val="both"/>
        <w:rPr>
          <w:rFonts w:asciiTheme="majorHAnsi" w:hAnsiTheme="majorHAnsi"/>
          <w:lang w:val="bg-BG"/>
        </w:rPr>
      </w:pPr>
      <w:r w:rsidRPr="003C15A3">
        <w:rPr>
          <w:rFonts w:asciiTheme="majorHAnsi" w:hAnsiTheme="majorHAnsi"/>
          <w:lang w:val="bg-BG"/>
        </w:rPr>
        <w:t>При регистрация в системата ИСУН 2020, задължително изискване е всеки кандидат да посочи имейл адрес, който е желателно за бъде създаден специално за периода на кандидатстване към стратегията за местно развитие, или да използва друг общ имейл адрес, а не личен електронен адрес. Този имейл адрес се извлича автоматично и съответно ще се визуализира в полето е-mail в т. 2. „Данни за кандидата“ от Формуляра за кандидатстване. Този имейл адрес не трябва да се променя в периода на кандидатстване и оценка до момента на сключване на Административен договор за предоставяне на БФП.</w:t>
      </w:r>
    </w:p>
    <w:p w:rsidR="003C15A3" w:rsidRPr="003C15A3" w:rsidRDefault="003C15A3" w:rsidP="003C15A3">
      <w:pPr>
        <w:pStyle w:val="afd"/>
        <w:pBdr>
          <w:top w:val="single" w:sz="4" w:space="1" w:color="auto"/>
          <w:left w:val="single" w:sz="4" w:space="4" w:color="auto"/>
          <w:bottom w:val="single" w:sz="4" w:space="1" w:color="auto"/>
          <w:right w:val="single" w:sz="4" w:space="4" w:color="auto"/>
        </w:pBdr>
        <w:ind w:firstLine="426"/>
        <w:jc w:val="both"/>
        <w:rPr>
          <w:rFonts w:asciiTheme="majorHAnsi" w:hAnsiTheme="majorHAnsi"/>
          <w:lang w:val="bg-BG"/>
        </w:rPr>
      </w:pPr>
      <w:r w:rsidRPr="003C15A3">
        <w:rPr>
          <w:rFonts w:asciiTheme="majorHAnsi" w:hAnsiTheme="majorHAnsi"/>
          <w:lang w:val="bg-BG"/>
        </w:rPr>
        <w:t>Проектното предложение по настоящата процедура</w:t>
      </w:r>
      <w:r w:rsidR="00675D84">
        <w:rPr>
          <w:rFonts w:asciiTheme="majorHAnsi" w:hAnsiTheme="majorHAnsi"/>
          <w:lang w:val="bg-BG"/>
        </w:rPr>
        <w:t xml:space="preserve"> </w:t>
      </w:r>
      <w:r w:rsidRPr="003C15A3">
        <w:rPr>
          <w:rFonts w:asciiTheme="majorHAnsi" w:hAnsiTheme="majorHAnsi"/>
          <w:lang w:val="bg-BG"/>
        </w:rPr>
        <w:t>се изготвя от кандидата, съгласно инструкциите на МИГ</w:t>
      </w:r>
      <w:r w:rsidR="00B65D41">
        <w:rPr>
          <w:rFonts w:asciiTheme="majorHAnsi" w:hAnsiTheme="majorHAnsi"/>
          <w:lang w:val="bg-BG"/>
        </w:rPr>
        <w:t xml:space="preserve"> Кирково-Златоград в</w:t>
      </w:r>
      <w:r w:rsidRPr="003C15A3">
        <w:rPr>
          <w:rFonts w:asciiTheme="majorHAnsi" w:hAnsiTheme="majorHAnsi"/>
          <w:lang w:val="bg-BG"/>
        </w:rPr>
        <w:t xml:space="preserve"> Указанията за електронно кандидатстване (Приложение </w:t>
      </w:r>
      <w:r w:rsidR="00B65D41">
        <w:rPr>
          <w:rFonts w:asciiTheme="majorHAnsi" w:hAnsiTheme="majorHAnsi"/>
          <w:lang w:val="bg-BG"/>
        </w:rPr>
        <w:t>М</w:t>
      </w:r>
      <w:r w:rsidRPr="003C15A3">
        <w:rPr>
          <w:rFonts w:asciiTheme="majorHAnsi" w:hAnsiTheme="majorHAnsi"/>
          <w:lang w:val="bg-BG"/>
        </w:rPr>
        <w:t xml:space="preserve"> към настоящите Условия).</w:t>
      </w:r>
    </w:p>
    <w:p w:rsidR="005A1B22" w:rsidRPr="00AE5CD3" w:rsidRDefault="003C15A3" w:rsidP="003F2254">
      <w:pPr>
        <w:pStyle w:val="afd"/>
        <w:pBdr>
          <w:top w:val="single" w:sz="4" w:space="1" w:color="auto"/>
          <w:left w:val="single" w:sz="4" w:space="4" w:color="auto"/>
          <w:bottom w:val="single" w:sz="4" w:space="1" w:color="auto"/>
          <w:right w:val="single" w:sz="4" w:space="4" w:color="auto"/>
        </w:pBdr>
        <w:ind w:firstLine="426"/>
        <w:jc w:val="both"/>
        <w:rPr>
          <w:rFonts w:asciiTheme="majorHAnsi" w:hAnsiTheme="majorHAnsi"/>
          <w:lang w:val="bg-BG"/>
        </w:rPr>
      </w:pPr>
      <w:r w:rsidRPr="003C15A3">
        <w:rPr>
          <w:rFonts w:asciiTheme="majorHAnsi" w:hAnsiTheme="majorHAnsi"/>
          <w:lang w:val="bg-BG"/>
        </w:rPr>
        <w:t xml:space="preserve">Изискващите се съгласно т. 24 от Условията за кандидатстване придружителни документи към формуляра за кандидатстване също се подават изцяло електронно. Посочените документи се описват в </w:t>
      </w:r>
      <w:r w:rsidR="00A223DD">
        <w:rPr>
          <w:rFonts w:asciiTheme="majorHAnsi" w:hAnsiTheme="majorHAnsi"/>
          <w:lang w:val="bg-BG"/>
        </w:rPr>
        <w:t>секция</w:t>
      </w:r>
      <w:r w:rsidRPr="003C15A3">
        <w:rPr>
          <w:rFonts w:asciiTheme="majorHAnsi" w:hAnsiTheme="majorHAnsi"/>
          <w:lang w:val="bg-BG"/>
        </w:rPr>
        <w:t xml:space="preserve"> 12</w:t>
      </w:r>
      <w:r w:rsidR="00A223DD" w:rsidRPr="00A223DD">
        <w:rPr>
          <w:rFonts w:asciiTheme="majorHAnsi" w:hAnsiTheme="majorHAnsi"/>
          <w:lang w:val="ru-RU"/>
        </w:rPr>
        <w:t xml:space="preserve"> </w:t>
      </w:r>
      <w:r w:rsidRPr="003C15A3">
        <w:rPr>
          <w:rFonts w:asciiTheme="majorHAnsi" w:hAnsiTheme="majorHAnsi"/>
          <w:lang w:val="bg-BG"/>
        </w:rPr>
        <w:t xml:space="preserve">„Прикачени документи“ от Формуляра за кандидатстване и се прикачват, преди подаването му. </w:t>
      </w:r>
      <w:r w:rsidRPr="00B65D41">
        <w:rPr>
          <w:rFonts w:asciiTheme="majorHAnsi" w:hAnsiTheme="majorHAnsi"/>
          <w:b/>
          <w:lang w:val="bg-BG"/>
        </w:rPr>
        <w:t>Всички документи се представят на български език без корекции.</w:t>
      </w:r>
      <w:r w:rsidRPr="003C15A3">
        <w:rPr>
          <w:rFonts w:asciiTheme="majorHAnsi" w:hAnsiTheme="majorHAnsi"/>
          <w:lang w:val="bg-BG"/>
        </w:rPr>
        <w:t xml:space="preserve"> Документ, чийто оригинал е на чужд език, се представя и в превод на български език. Изключително важно е относимите документи да съдържат цялата необходима информация.</w:t>
      </w:r>
      <w:r w:rsidRPr="003C15A3">
        <w:rPr>
          <w:rFonts w:asciiTheme="majorHAnsi" w:hAnsiTheme="majorHAnsi"/>
          <w:lang w:val="bg-BG"/>
        </w:rPr>
        <w:cr/>
      </w:r>
      <w:r w:rsidR="005A1B22" w:rsidRPr="00AE5CD3">
        <w:rPr>
          <w:rFonts w:asciiTheme="majorHAnsi" w:hAnsiTheme="majorHAnsi"/>
          <w:b/>
          <w:lang w:val="bg-BG"/>
        </w:rPr>
        <w:t>ВАЖНО:</w:t>
      </w:r>
      <w:r w:rsidR="005A1B22" w:rsidRPr="00AE5CD3">
        <w:rPr>
          <w:rFonts w:asciiTheme="majorHAnsi" w:hAnsiTheme="majorHAnsi"/>
          <w:lang w:val="bg-BG"/>
        </w:rPr>
        <w:t xml:space="preserve"> Проектното предложение се подписва с КЕП от лице с право да представлява кандидата или упълномощено от него лице. В случаите, когато кандидатът се представлява заедно от няколко физически лица, проектното предложение се подписва от всяко от тях при подаването. </w:t>
      </w:r>
    </w:p>
    <w:p w:rsidR="005A1B22" w:rsidRPr="00AE5CD3" w:rsidRDefault="005A1B22" w:rsidP="003F2254">
      <w:pPr>
        <w:pStyle w:val="afd"/>
        <w:pBdr>
          <w:top w:val="single" w:sz="4" w:space="1" w:color="auto"/>
          <w:left w:val="single" w:sz="4" w:space="4" w:color="auto"/>
          <w:bottom w:val="single" w:sz="4" w:space="1" w:color="auto"/>
          <w:right w:val="single" w:sz="4" w:space="4" w:color="auto"/>
        </w:pBdr>
        <w:ind w:firstLine="426"/>
        <w:jc w:val="both"/>
        <w:rPr>
          <w:rFonts w:asciiTheme="majorHAnsi" w:hAnsiTheme="majorHAnsi"/>
          <w:lang w:val="bg-BG"/>
        </w:rPr>
      </w:pPr>
      <w:r w:rsidRPr="00AE5CD3">
        <w:rPr>
          <w:rFonts w:asciiTheme="majorHAnsi" w:hAnsiTheme="majorHAnsi"/>
          <w:b/>
          <w:lang w:val="bg-BG"/>
        </w:rPr>
        <w:t>ВАЖНО:</w:t>
      </w:r>
      <w:r w:rsidRPr="00AE5CD3">
        <w:rPr>
          <w:rFonts w:asciiTheme="majorHAnsi" w:hAnsiTheme="majorHAnsi"/>
          <w:lang w:val="bg-BG"/>
        </w:rPr>
        <w:t xml:space="preserve"> Проектно предложение е препоръчително да се подава винаги от профила </w:t>
      </w:r>
      <w:r w:rsidRPr="00AE5CD3">
        <w:rPr>
          <w:rFonts w:asciiTheme="majorHAnsi" w:hAnsiTheme="majorHAnsi"/>
          <w:lang w:val="bg-BG"/>
        </w:rPr>
        <w:lastRenderedPageBreak/>
        <w:t xml:space="preserve">на кандидата, не от друг профил, тъй като впоследствие ще бъде използван именно този профил за комуникация с Управляващия орган и за отстраняване на забелязани нередовности във връзка с подаденото проектно предложение по време на оценката на проектните предложения. По време на етап „Оценка на проектно предложение“ комуникацията с кандидата и редакцията на забелязани нередовности по подаденото проектно предложение ще се извършват електронно чрез профила на кандидата в ИСУН 2020, от който е подаден съответния проект и промени на посочения профил (вкл. промяна на имейл адреса, асоцииран към съответния профил) </w:t>
      </w:r>
      <w:r w:rsidRPr="00AE5CD3">
        <w:rPr>
          <w:rFonts w:asciiTheme="majorHAnsi" w:hAnsiTheme="majorHAnsi"/>
          <w:b/>
          <w:lang w:val="bg-BG"/>
        </w:rPr>
        <w:t>са недопустими</w:t>
      </w:r>
      <w:r w:rsidRPr="00AE5CD3">
        <w:rPr>
          <w:rFonts w:asciiTheme="majorHAnsi" w:hAnsiTheme="majorHAnsi"/>
          <w:lang w:val="bg-BG"/>
        </w:rPr>
        <w:t>.</w:t>
      </w:r>
    </w:p>
    <w:p w:rsidR="005A1B22" w:rsidRPr="00AE5CD3" w:rsidRDefault="005A1B22" w:rsidP="003F2254">
      <w:pPr>
        <w:pStyle w:val="afd"/>
        <w:pBdr>
          <w:top w:val="single" w:sz="4" w:space="1" w:color="auto"/>
          <w:left w:val="single" w:sz="4" w:space="4" w:color="auto"/>
          <w:bottom w:val="single" w:sz="4" w:space="1" w:color="auto"/>
          <w:right w:val="single" w:sz="4" w:space="4" w:color="auto"/>
        </w:pBdr>
        <w:ind w:firstLine="426"/>
        <w:jc w:val="both"/>
        <w:rPr>
          <w:rFonts w:asciiTheme="majorHAnsi" w:hAnsiTheme="majorHAnsi"/>
          <w:lang w:val="bg-BG"/>
        </w:rPr>
      </w:pPr>
      <w:r w:rsidRPr="00AE5CD3">
        <w:rPr>
          <w:rFonts w:asciiTheme="majorHAnsi" w:hAnsiTheme="majorHAnsi"/>
          <w:lang w:val="bg-BG"/>
        </w:rPr>
        <w:t>До приключването на работата на оценителната комисия кандидатът има възможност да оттегли своето проектно предложение като подаде писмено искане в УО, като това обстоятелство се отбелязва от потребител на ИСУН от УО със съответните права.</w:t>
      </w:r>
    </w:p>
    <w:p w:rsidR="005A1B22" w:rsidRPr="00AE5CD3" w:rsidRDefault="005A1B22" w:rsidP="003F2254">
      <w:pPr>
        <w:pStyle w:val="afd"/>
        <w:pBdr>
          <w:top w:val="single" w:sz="4" w:space="1" w:color="auto"/>
          <w:left w:val="single" w:sz="4" w:space="4" w:color="auto"/>
          <w:bottom w:val="single" w:sz="4" w:space="1" w:color="auto"/>
          <w:right w:val="single" w:sz="4" w:space="4" w:color="auto"/>
        </w:pBdr>
        <w:ind w:firstLine="426"/>
        <w:jc w:val="both"/>
        <w:rPr>
          <w:rFonts w:asciiTheme="majorHAnsi" w:hAnsiTheme="majorHAnsi"/>
          <w:lang w:val="bg-BG"/>
        </w:rPr>
      </w:pPr>
      <w:bookmarkStart w:id="139" w:name="_Toc476823166"/>
      <w:r w:rsidRPr="00AE5CD3">
        <w:rPr>
          <w:rFonts w:asciiTheme="majorHAnsi" w:hAnsiTheme="majorHAnsi"/>
          <w:lang w:val="bg-BG" w:eastAsia="bg-BG"/>
        </w:rPr>
        <w:t xml:space="preserve">Комисията за подбор оценява </w:t>
      </w:r>
      <w:r w:rsidRPr="00D93168">
        <w:rPr>
          <w:rFonts w:asciiTheme="majorHAnsi" w:hAnsiTheme="majorHAnsi"/>
          <w:b/>
          <w:lang w:val="bg-BG" w:eastAsia="bg-BG"/>
        </w:rPr>
        <w:t>само</w:t>
      </w:r>
      <w:r w:rsidRPr="00AE5CD3">
        <w:rPr>
          <w:rFonts w:asciiTheme="majorHAnsi" w:hAnsiTheme="majorHAnsi"/>
          <w:lang w:val="bg-BG" w:eastAsia="bg-BG"/>
        </w:rPr>
        <w:t xml:space="preserve"> Формуляра за кандидатстване и изискуемите на етап кандидатстване документ</w:t>
      </w:r>
      <w:r w:rsidR="00B867B7" w:rsidRPr="00AE5CD3">
        <w:rPr>
          <w:rFonts w:asciiTheme="majorHAnsi" w:hAnsiTheme="majorHAnsi"/>
          <w:lang w:val="bg-BG" w:eastAsia="bg-BG"/>
        </w:rPr>
        <w:t>и.</w:t>
      </w:r>
    </w:p>
    <w:bookmarkEnd w:id="139"/>
    <w:p w:rsidR="005A1B22" w:rsidRPr="00AE5CD3" w:rsidRDefault="005A1B22" w:rsidP="008119B6">
      <w:pPr>
        <w:pStyle w:val="20"/>
        <w:spacing w:before="0" w:line="240" w:lineRule="auto"/>
        <w:rPr>
          <w:rFonts w:asciiTheme="majorHAnsi" w:hAnsiTheme="majorHAnsi"/>
        </w:rPr>
      </w:pPr>
    </w:p>
    <w:p w:rsidR="005A1B22" w:rsidRPr="00AE5CD3" w:rsidRDefault="005A1B22" w:rsidP="008119B6">
      <w:pPr>
        <w:pStyle w:val="20"/>
        <w:spacing w:before="0" w:line="240" w:lineRule="auto"/>
        <w:rPr>
          <w:rFonts w:asciiTheme="majorHAnsi" w:hAnsiTheme="majorHAnsi"/>
        </w:rPr>
      </w:pPr>
      <w:bookmarkStart w:id="140" w:name="_Toc514333723"/>
      <w:bookmarkStart w:id="141" w:name="_Toc514334563"/>
      <w:bookmarkStart w:id="142" w:name="_Toc514334655"/>
      <w:r w:rsidRPr="00AE5CD3">
        <w:rPr>
          <w:rFonts w:asciiTheme="majorHAnsi" w:hAnsiTheme="majorHAnsi"/>
        </w:rPr>
        <w:t>24. Списък на документите , които се подават на етап кандидатстване</w:t>
      </w:r>
      <w:bookmarkEnd w:id="140"/>
      <w:bookmarkEnd w:id="141"/>
      <w:bookmarkEnd w:id="142"/>
    </w:p>
    <w:p w:rsidR="004A4290"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ВАЖНО:</w:t>
      </w:r>
      <w:r w:rsidR="004A4290" w:rsidRPr="00AE5CD3">
        <w:rPr>
          <w:rFonts w:asciiTheme="majorHAnsi" w:hAnsiTheme="majorHAnsi"/>
          <w:sz w:val="24"/>
          <w:szCs w:val="24"/>
        </w:rPr>
        <w:t>Всички изискуеми документи за конкретната процедура се прикачват при подаване на проектното предложение</w:t>
      </w:r>
      <w:r w:rsidR="00E0252D">
        <w:rPr>
          <w:rFonts w:asciiTheme="majorHAnsi" w:hAnsiTheme="majorHAnsi"/>
          <w:sz w:val="24"/>
          <w:szCs w:val="24"/>
        </w:rPr>
        <w:t xml:space="preserve"> </w:t>
      </w:r>
      <w:r w:rsidR="004A4290" w:rsidRPr="00AE5CD3">
        <w:rPr>
          <w:rFonts w:asciiTheme="majorHAnsi" w:hAnsiTheme="majorHAnsi"/>
          <w:sz w:val="24"/>
          <w:szCs w:val="24"/>
        </w:rPr>
        <w:t>в последната секция на Формуляра за кандидатстване, с</w:t>
      </w:r>
      <w:r w:rsidRPr="00AE5CD3">
        <w:rPr>
          <w:rFonts w:asciiTheme="majorHAnsi" w:hAnsiTheme="majorHAnsi"/>
          <w:sz w:val="24"/>
          <w:szCs w:val="24"/>
        </w:rPr>
        <w:t xml:space="preserve">ъгласно чл. 26, ал, 1 от ЗУСЕСИФ, </w:t>
      </w:r>
    </w:p>
    <w:p w:rsidR="00027F04"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Достоверността на електронните копия на документи, приложения към Формуляра за кандидатстване, се удостоверява единствено чрез подписването с КЕП на формуляра в ИСУН 2020.</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ВАЖНО:</w:t>
      </w:r>
      <w:r w:rsidRPr="00AE5CD3">
        <w:rPr>
          <w:rFonts w:asciiTheme="majorHAnsi" w:hAnsiTheme="majorHAnsi"/>
          <w:sz w:val="24"/>
          <w:szCs w:val="24"/>
        </w:rPr>
        <w:t xml:space="preserve"> За целите на процедурата за подбор на проекти в изпълнение на подхода ВОМР под „лице с право да представлява кандидата“ следва да се разбира официален представител на предп</w:t>
      </w:r>
      <w:r w:rsidR="004A4290" w:rsidRPr="00AE5CD3">
        <w:rPr>
          <w:rFonts w:asciiTheme="majorHAnsi" w:hAnsiTheme="majorHAnsi"/>
          <w:sz w:val="24"/>
          <w:szCs w:val="24"/>
        </w:rPr>
        <w:t>р</w:t>
      </w:r>
      <w:r w:rsidRPr="00AE5CD3">
        <w:rPr>
          <w:rFonts w:asciiTheme="majorHAnsi" w:hAnsiTheme="majorHAnsi"/>
          <w:sz w:val="24"/>
          <w:szCs w:val="24"/>
        </w:rPr>
        <w:t>иятие</w:t>
      </w:r>
      <w:r w:rsidR="004A4290" w:rsidRPr="00AE5CD3">
        <w:rPr>
          <w:rFonts w:asciiTheme="majorHAnsi" w:hAnsiTheme="majorHAnsi"/>
          <w:sz w:val="24"/>
          <w:szCs w:val="24"/>
        </w:rPr>
        <w:t>то</w:t>
      </w:r>
      <w:r w:rsidRPr="00AE5CD3">
        <w:rPr>
          <w:rFonts w:asciiTheme="majorHAnsi" w:hAnsiTheme="majorHAnsi"/>
          <w:sz w:val="24"/>
          <w:szCs w:val="24"/>
        </w:rPr>
        <w:t>-кандидат.</w:t>
      </w:r>
    </w:p>
    <w:p w:rsidR="003F2254" w:rsidRPr="00AE5CD3" w:rsidRDefault="003F2254"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Кандидатите по процедурата за безвъзмездна финансова помощ следва да представят към Формуляра за кандидатстване по изцяло електронен път чрез ИСУН 2020 следните документи:</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b/>
          <w:sz w:val="24"/>
          <w:szCs w:val="24"/>
        </w:rPr>
      </w:pPr>
      <w:r w:rsidRPr="00AE5CD3">
        <w:rPr>
          <w:rFonts w:asciiTheme="majorHAnsi" w:hAnsiTheme="majorHAnsi"/>
          <w:b/>
          <w:sz w:val="24"/>
          <w:szCs w:val="24"/>
        </w:rPr>
        <w:t>1</w:t>
      </w:r>
      <w:r w:rsidRPr="00AE5CD3">
        <w:rPr>
          <w:rFonts w:asciiTheme="majorHAnsi" w:hAnsiTheme="majorHAnsi"/>
          <w:sz w:val="24"/>
          <w:szCs w:val="24"/>
        </w:rPr>
        <w:t xml:space="preserve">. Декларация, че кандидатът е запознат с условията за кандидатстване и условията за изпълнение – попълнена по образец </w:t>
      </w:r>
      <w:r w:rsidRPr="00AE5CD3">
        <w:rPr>
          <w:rFonts w:asciiTheme="majorHAnsi" w:hAnsiTheme="majorHAnsi"/>
          <w:b/>
          <w:sz w:val="24"/>
          <w:szCs w:val="24"/>
        </w:rPr>
        <w:t>(Приложение В)</w:t>
      </w:r>
      <w:r w:rsidRPr="00AE5CD3">
        <w:rPr>
          <w:rFonts w:asciiTheme="majorHAnsi" w:hAnsiTheme="majorHAnsi"/>
          <w:sz w:val="24"/>
          <w:szCs w:val="24"/>
        </w:rPr>
        <w:t xml:space="preserve"> към Условията за кандидатстване</w:t>
      </w:r>
      <w:r w:rsidRPr="00AE5CD3">
        <w:rPr>
          <w:rFonts w:asciiTheme="majorHAnsi" w:hAnsiTheme="majorHAnsi"/>
          <w:b/>
          <w:sz w:val="24"/>
          <w:szCs w:val="24"/>
        </w:rPr>
        <w:t>–</w:t>
      </w:r>
      <w:r w:rsidR="00F13114" w:rsidRPr="00AE5CD3">
        <w:rPr>
          <w:rFonts w:asciiTheme="majorHAnsi" w:hAnsiTheme="majorHAnsi"/>
          <w:b/>
          <w:sz w:val="24"/>
          <w:szCs w:val="24"/>
        </w:rPr>
        <w:t xml:space="preserve">  прикачена в ИСУН 2020;</w:t>
      </w:r>
      <w:r w:rsidRPr="00AE5CD3">
        <w:rPr>
          <w:rFonts w:asciiTheme="majorHAnsi" w:hAnsiTheme="majorHAnsi"/>
          <w:b/>
          <w:sz w:val="24"/>
          <w:szCs w:val="24"/>
        </w:rPr>
        <w:t>.</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b/>
          <w:sz w:val="24"/>
          <w:szCs w:val="24"/>
        </w:rPr>
      </w:pPr>
      <w:r w:rsidRPr="00AE5CD3">
        <w:rPr>
          <w:rFonts w:asciiTheme="majorHAnsi" w:hAnsiTheme="majorHAnsi"/>
          <w:b/>
          <w:sz w:val="24"/>
          <w:szCs w:val="24"/>
        </w:rPr>
        <w:t>2.</w:t>
      </w:r>
      <w:r w:rsidRPr="00AE5CD3">
        <w:rPr>
          <w:rFonts w:asciiTheme="majorHAnsi" w:hAnsiTheme="majorHAnsi"/>
          <w:sz w:val="24"/>
          <w:szCs w:val="24"/>
        </w:rPr>
        <w:t xml:space="preserve"> Декларация по чл. 25, ал. 2 от Закона за управление на средствата от европейските структурни и инвестиционни фондове – попълнена по образец </w:t>
      </w:r>
      <w:r w:rsidRPr="00AE5CD3">
        <w:rPr>
          <w:rFonts w:asciiTheme="majorHAnsi" w:hAnsiTheme="majorHAnsi"/>
          <w:b/>
          <w:sz w:val="24"/>
          <w:szCs w:val="24"/>
        </w:rPr>
        <w:t>(Приложение Г)</w:t>
      </w:r>
      <w:r w:rsidRPr="00AE5CD3">
        <w:rPr>
          <w:rFonts w:asciiTheme="majorHAnsi" w:hAnsiTheme="majorHAnsi"/>
          <w:sz w:val="24"/>
          <w:szCs w:val="24"/>
        </w:rPr>
        <w:t xml:space="preserve"> към Условията за кандидатстване –</w:t>
      </w:r>
      <w:r w:rsidR="00F13114" w:rsidRPr="00AE5CD3">
        <w:rPr>
          <w:rFonts w:asciiTheme="majorHAnsi" w:hAnsiTheme="majorHAnsi"/>
          <w:b/>
          <w:sz w:val="24"/>
          <w:szCs w:val="24"/>
        </w:rPr>
        <w:t xml:space="preserve">  прикачена в ИСУН 2020;</w:t>
      </w:r>
      <w:r w:rsidRPr="00AE5CD3">
        <w:rPr>
          <w:rFonts w:asciiTheme="majorHAnsi" w:hAnsiTheme="majorHAnsi"/>
          <w:b/>
          <w:sz w:val="24"/>
          <w:szCs w:val="24"/>
        </w:rPr>
        <w:t>.</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ВАЖНО:</w:t>
      </w:r>
      <w:r w:rsidR="003B0534">
        <w:rPr>
          <w:rFonts w:asciiTheme="majorHAnsi" w:hAnsiTheme="majorHAnsi"/>
          <w:b/>
          <w:sz w:val="24"/>
          <w:szCs w:val="24"/>
        </w:rPr>
        <w:t xml:space="preserve"> </w:t>
      </w:r>
      <w:r w:rsidRPr="00AE5CD3">
        <w:rPr>
          <w:rFonts w:asciiTheme="majorHAnsi" w:hAnsiTheme="majorHAnsi"/>
          <w:i/>
          <w:sz w:val="24"/>
          <w:szCs w:val="24"/>
        </w:rPr>
        <w:t>С цел правилно определяне на лицата, които са длъжни да подпишат Декларация по чл. 25, ал. 2 от ЗУСЕСИФ и чл. 7 от ПМС 162/2016 г., Комисията за подбор може да изисква други официални документи, удостоверяващи статута на всички лица, с право да представляват кандидата (независимо от това дали заедно и/или поотделно, и/или по друг начин).</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b/>
          <w:sz w:val="24"/>
          <w:szCs w:val="24"/>
        </w:rPr>
      </w:pPr>
      <w:r w:rsidRPr="00AE5CD3">
        <w:rPr>
          <w:rFonts w:asciiTheme="majorHAnsi" w:hAnsiTheme="majorHAnsi"/>
          <w:b/>
          <w:sz w:val="24"/>
          <w:szCs w:val="24"/>
        </w:rPr>
        <w:t xml:space="preserve">3. </w:t>
      </w:r>
      <w:r w:rsidRPr="00AE5CD3">
        <w:rPr>
          <w:rFonts w:asciiTheme="majorHAnsi" w:hAnsiTheme="majorHAnsi"/>
          <w:sz w:val="24"/>
          <w:szCs w:val="24"/>
        </w:rPr>
        <w:t>Декларация за минимални помощи – попълнена по образец (</w:t>
      </w:r>
      <w:r w:rsidRPr="00AE5CD3">
        <w:rPr>
          <w:rFonts w:asciiTheme="majorHAnsi" w:hAnsiTheme="majorHAnsi"/>
          <w:b/>
          <w:sz w:val="24"/>
          <w:szCs w:val="24"/>
        </w:rPr>
        <w:t>Приложение Д</w:t>
      </w:r>
      <w:r w:rsidR="000D5538">
        <w:rPr>
          <w:rFonts w:asciiTheme="majorHAnsi" w:hAnsiTheme="majorHAnsi"/>
          <w:b/>
          <w:sz w:val="24"/>
          <w:szCs w:val="24"/>
        </w:rPr>
        <w:t xml:space="preserve"> и Прил. Д1</w:t>
      </w:r>
      <w:r w:rsidRPr="00AE5CD3">
        <w:rPr>
          <w:rFonts w:asciiTheme="majorHAnsi" w:hAnsiTheme="majorHAnsi"/>
          <w:sz w:val="24"/>
          <w:szCs w:val="24"/>
        </w:rPr>
        <w:t xml:space="preserve">) към Условията за кандидатстване </w:t>
      </w:r>
      <w:r w:rsidRPr="00AE5CD3">
        <w:rPr>
          <w:rFonts w:asciiTheme="majorHAnsi" w:hAnsiTheme="majorHAnsi"/>
          <w:b/>
          <w:sz w:val="24"/>
          <w:szCs w:val="24"/>
        </w:rPr>
        <w:t>–прикачена в ИСУН 2020;</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 xml:space="preserve">4. </w:t>
      </w:r>
      <w:r w:rsidRPr="00AE5CD3">
        <w:rPr>
          <w:rFonts w:asciiTheme="majorHAnsi" w:hAnsiTheme="majorHAnsi"/>
          <w:sz w:val="24"/>
          <w:szCs w:val="24"/>
        </w:rPr>
        <w:t>Декларация за обстоятелствата по чл. 3 и чл. 4 от Закона за малките и средните предприятия – попълнена по образец (</w:t>
      </w:r>
      <w:r w:rsidRPr="00AE5CD3">
        <w:rPr>
          <w:rFonts w:asciiTheme="majorHAnsi" w:hAnsiTheme="majorHAnsi"/>
          <w:b/>
          <w:sz w:val="24"/>
          <w:szCs w:val="24"/>
        </w:rPr>
        <w:t>Приложение Е</w:t>
      </w:r>
      <w:r w:rsidRPr="00AE5CD3">
        <w:rPr>
          <w:rFonts w:asciiTheme="majorHAnsi" w:hAnsiTheme="majorHAnsi"/>
          <w:sz w:val="24"/>
          <w:szCs w:val="24"/>
        </w:rPr>
        <w:t>) към Условията за кандидатстване –</w:t>
      </w:r>
      <w:r w:rsidR="00F13114" w:rsidRPr="00AE5CD3">
        <w:rPr>
          <w:rFonts w:asciiTheme="majorHAnsi" w:hAnsiTheme="majorHAnsi"/>
          <w:b/>
          <w:sz w:val="24"/>
          <w:szCs w:val="24"/>
        </w:rPr>
        <w:t xml:space="preserve"> прикачена в ИСУН 2020;</w:t>
      </w:r>
      <w:r w:rsidRPr="00AE5CD3">
        <w:rPr>
          <w:rFonts w:asciiTheme="majorHAnsi" w:hAnsiTheme="majorHAnsi"/>
          <w:b/>
          <w:sz w:val="24"/>
          <w:szCs w:val="24"/>
        </w:rPr>
        <w:t>.</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firstLine="709"/>
        <w:jc w:val="both"/>
        <w:rPr>
          <w:rFonts w:asciiTheme="majorHAnsi" w:hAnsiTheme="majorHAnsi"/>
          <w:sz w:val="24"/>
          <w:szCs w:val="24"/>
        </w:rPr>
      </w:pPr>
      <w:r w:rsidRPr="00AE5CD3">
        <w:rPr>
          <w:rFonts w:asciiTheme="majorHAnsi" w:hAnsiTheme="majorHAnsi"/>
          <w:b/>
          <w:sz w:val="24"/>
          <w:szCs w:val="24"/>
        </w:rPr>
        <w:t xml:space="preserve">ВАЖНО: </w:t>
      </w:r>
      <w:r w:rsidRPr="00AE5CD3">
        <w:rPr>
          <w:rFonts w:asciiTheme="majorHAnsi" w:hAnsiTheme="majorHAnsi"/>
          <w:sz w:val="24"/>
          <w:szCs w:val="24"/>
        </w:rPr>
        <w:t xml:space="preserve">Официалният/те представител/и на кандидата няма/т право да упълномощава/т други лица да подписват декларациите по точки  1, 2, 3 и 4, тъй като с тях се декларират данни, които декларатора декларира в лично качество или </w:t>
      </w:r>
      <w:r w:rsidRPr="00AE5CD3">
        <w:rPr>
          <w:rFonts w:asciiTheme="majorHAnsi" w:hAnsiTheme="majorHAnsi"/>
          <w:sz w:val="24"/>
          <w:szCs w:val="24"/>
        </w:rPr>
        <w:lastRenderedPageBreak/>
        <w:t xml:space="preserve">съответно данни за представляваното от него юридическо лице, като за верността им се носи наказателна отговорност, която също е лична. </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firstLine="709"/>
        <w:jc w:val="both"/>
        <w:rPr>
          <w:rFonts w:asciiTheme="majorHAnsi" w:hAnsiTheme="majorHAnsi"/>
          <w:sz w:val="24"/>
          <w:szCs w:val="24"/>
        </w:rPr>
      </w:pPr>
      <w:r w:rsidRPr="00AE5CD3">
        <w:rPr>
          <w:rFonts w:asciiTheme="majorHAnsi" w:hAnsiTheme="majorHAnsi"/>
          <w:sz w:val="24"/>
          <w:szCs w:val="24"/>
        </w:rPr>
        <w:t>Декларациите</w:t>
      </w:r>
      <w:r w:rsidR="00F13114" w:rsidRPr="00AE5CD3">
        <w:rPr>
          <w:rFonts w:asciiTheme="majorHAnsi" w:hAnsiTheme="majorHAnsi"/>
          <w:sz w:val="24"/>
          <w:szCs w:val="24"/>
        </w:rPr>
        <w:t xml:space="preserve"> по</w:t>
      </w:r>
      <w:r w:rsidRPr="00AE5CD3">
        <w:rPr>
          <w:rFonts w:asciiTheme="majorHAnsi" w:hAnsiTheme="majorHAnsi"/>
          <w:sz w:val="24"/>
          <w:szCs w:val="24"/>
        </w:rPr>
        <w:t xml:space="preserve"> точки 1, 3 и 4 </w:t>
      </w:r>
      <w:r w:rsidR="00027F04" w:rsidRPr="00027F04">
        <w:rPr>
          <w:rFonts w:asciiTheme="majorHAnsi" w:hAnsiTheme="majorHAnsi"/>
          <w:sz w:val="24"/>
          <w:szCs w:val="24"/>
        </w:rPr>
        <w:t xml:space="preserve">се датират и  подписват на хартиен носител </w:t>
      </w:r>
      <w:r w:rsidRPr="00AE5CD3">
        <w:rPr>
          <w:rFonts w:asciiTheme="majorHAnsi" w:hAnsiTheme="majorHAnsi"/>
          <w:sz w:val="24"/>
          <w:szCs w:val="24"/>
        </w:rPr>
        <w:t xml:space="preserve"> от лице с право да представлява кандидата. В случаите, когато кандидатът се представлява </w:t>
      </w:r>
      <w:r w:rsidRPr="00027F04">
        <w:rPr>
          <w:rFonts w:asciiTheme="majorHAnsi" w:hAnsiTheme="majorHAnsi"/>
          <w:sz w:val="24"/>
          <w:szCs w:val="24"/>
          <w:u w:val="single"/>
        </w:rPr>
        <w:t>заедно</w:t>
      </w:r>
      <w:r w:rsidRPr="00AE5CD3">
        <w:rPr>
          <w:rFonts w:asciiTheme="majorHAnsi" w:hAnsiTheme="majorHAnsi"/>
          <w:sz w:val="24"/>
          <w:szCs w:val="24"/>
        </w:rPr>
        <w:t xml:space="preserve"> от няколко физически лица, се попълват данните и декларациите се подписват от всяко от тях. </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firstLine="709"/>
        <w:jc w:val="both"/>
        <w:rPr>
          <w:rFonts w:asciiTheme="majorHAnsi" w:hAnsiTheme="majorHAnsi"/>
          <w:sz w:val="24"/>
          <w:szCs w:val="24"/>
        </w:rPr>
      </w:pPr>
      <w:r w:rsidRPr="00AE5CD3">
        <w:rPr>
          <w:rFonts w:asciiTheme="majorHAnsi" w:hAnsiTheme="majorHAnsi"/>
          <w:sz w:val="24"/>
          <w:szCs w:val="24"/>
        </w:rPr>
        <w:t xml:space="preserve">Декларацията по точка 2 </w:t>
      </w:r>
      <w:r w:rsidR="00027F04" w:rsidRPr="00027F04">
        <w:rPr>
          <w:rFonts w:asciiTheme="majorHAnsi" w:hAnsiTheme="majorHAnsi"/>
          <w:sz w:val="24"/>
          <w:szCs w:val="24"/>
        </w:rPr>
        <w:t>се датират и  подписват на хартиен носител</w:t>
      </w:r>
      <w:r w:rsidR="00675D84">
        <w:rPr>
          <w:rFonts w:asciiTheme="majorHAnsi" w:hAnsiTheme="majorHAnsi"/>
          <w:sz w:val="24"/>
          <w:szCs w:val="24"/>
        </w:rPr>
        <w:t xml:space="preserve"> </w:t>
      </w:r>
      <w:r w:rsidRPr="00AE5CD3">
        <w:rPr>
          <w:rFonts w:asciiTheme="majorHAnsi" w:hAnsiTheme="majorHAnsi"/>
          <w:bCs/>
          <w:sz w:val="24"/>
          <w:szCs w:val="24"/>
        </w:rPr>
        <w:t xml:space="preserve">от </w:t>
      </w:r>
      <w:r w:rsidRPr="00AE5CD3">
        <w:rPr>
          <w:rFonts w:asciiTheme="majorHAnsi" w:hAnsiTheme="majorHAnsi"/>
          <w:bCs/>
          <w:sz w:val="24"/>
          <w:szCs w:val="24"/>
          <w:u w:val="single"/>
        </w:rPr>
        <w:t>всички</w:t>
      </w:r>
      <w:r w:rsidRPr="00AE5CD3">
        <w:rPr>
          <w:rFonts w:asciiTheme="majorHAnsi" w:hAnsiTheme="majorHAnsi"/>
          <w:bCs/>
          <w:sz w:val="24"/>
          <w:szCs w:val="24"/>
        </w:rPr>
        <w:t xml:space="preserve"> лица, с право да</w:t>
      </w:r>
      <w:r w:rsidR="00675D84">
        <w:rPr>
          <w:rFonts w:asciiTheme="majorHAnsi" w:hAnsiTheme="majorHAnsi"/>
          <w:bCs/>
          <w:sz w:val="24"/>
          <w:szCs w:val="24"/>
        </w:rPr>
        <w:t xml:space="preserve"> </w:t>
      </w:r>
      <w:r w:rsidRPr="00AE5CD3">
        <w:rPr>
          <w:rFonts w:asciiTheme="majorHAnsi" w:hAnsiTheme="majorHAnsi"/>
          <w:bCs/>
          <w:sz w:val="24"/>
          <w:szCs w:val="24"/>
        </w:rPr>
        <w:t xml:space="preserve">представляват кандидата </w:t>
      </w:r>
      <w:r w:rsidRPr="00AE5CD3">
        <w:rPr>
          <w:rFonts w:asciiTheme="majorHAnsi" w:hAnsiTheme="majorHAnsi"/>
          <w:sz w:val="24"/>
          <w:szCs w:val="24"/>
        </w:rPr>
        <w:t>(</w:t>
      </w:r>
      <w:r w:rsidRPr="00AE5CD3">
        <w:rPr>
          <w:rFonts w:asciiTheme="majorHAnsi" w:hAnsiTheme="majorHAnsi"/>
          <w:bCs/>
          <w:sz w:val="24"/>
          <w:szCs w:val="24"/>
        </w:rPr>
        <w:t xml:space="preserve">независимо от това дали заедно и/или поотделно, и/или </w:t>
      </w:r>
      <w:r w:rsidR="00675D84">
        <w:rPr>
          <w:rFonts w:asciiTheme="majorHAnsi" w:hAnsiTheme="majorHAnsi"/>
          <w:bCs/>
          <w:sz w:val="24"/>
          <w:szCs w:val="24"/>
        </w:rPr>
        <w:t xml:space="preserve"> </w:t>
      </w:r>
      <w:r w:rsidRPr="00AE5CD3">
        <w:rPr>
          <w:rFonts w:asciiTheme="majorHAnsi" w:hAnsiTheme="majorHAnsi"/>
          <w:bCs/>
          <w:sz w:val="24"/>
          <w:szCs w:val="24"/>
        </w:rPr>
        <w:t>по</w:t>
      </w:r>
      <w:r w:rsidR="00675D84">
        <w:rPr>
          <w:rFonts w:asciiTheme="majorHAnsi" w:hAnsiTheme="majorHAnsi"/>
          <w:bCs/>
          <w:sz w:val="24"/>
          <w:szCs w:val="24"/>
        </w:rPr>
        <w:t xml:space="preserve"> </w:t>
      </w:r>
      <w:r w:rsidRPr="00AE5CD3">
        <w:rPr>
          <w:rFonts w:asciiTheme="majorHAnsi" w:hAnsiTheme="majorHAnsi"/>
          <w:bCs/>
          <w:sz w:val="24"/>
          <w:szCs w:val="24"/>
        </w:rPr>
        <w:t>друг начин</w:t>
      </w:r>
      <w:r w:rsidRPr="00AE5CD3">
        <w:rPr>
          <w:rFonts w:asciiTheme="majorHAnsi" w:hAnsiTheme="majorHAnsi"/>
          <w:sz w:val="24"/>
          <w:szCs w:val="24"/>
        </w:rPr>
        <w:t>).</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firstLine="709"/>
        <w:jc w:val="both"/>
        <w:rPr>
          <w:rFonts w:asciiTheme="majorHAnsi" w:hAnsiTheme="majorHAnsi"/>
          <w:sz w:val="24"/>
          <w:szCs w:val="24"/>
        </w:rPr>
      </w:pPr>
      <w:r w:rsidRPr="00AE5CD3">
        <w:rPr>
          <w:rFonts w:asciiTheme="majorHAnsi" w:hAnsiTheme="majorHAnsi"/>
          <w:sz w:val="24"/>
          <w:szCs w:val="24"/>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p w:rsidR="008B01CE" w:rsidRPr="008B01CE" w:rsidRDefault="008B01CE" w:rsidP="00E0252D">
      <w:pPr>
        <w:pStyle w:val="aa"/>
        <w:pBdr>
          <w:top w:val="single" w:sz="4" w:space="1" w:color="auto"/>
          <w:left w:val="single" w:sz="4" w:space="1" w:color="auto"/>
          <w:bottom w:val="single" w:sz="4" w:space="1" w:color="auto"/>
          <w:right w:val="single" w:sz="4" w:space="1" w:color="auto"/>
        </w:pBdr>
        <w:spacing w:after="360" w:line="240" w:lineRule="auto"/>
        <w:ind w:left="0" w:firstLine="709"/>
        <w:jc w:val="both"/>
        <w:rPr>
          <w:rFonts w:asciiTheme="majorHAnsi" w:hAnsiTheme="majorHAnsi"/>
          <w:sz w:val="24"/>
          <w:szCs w:val="24"/>
        </w:rPr>
      </w:pPr>
      <w:r w:rsidRPr="008B01CE">
        <w:rPr>
          <w:rFonts w:asciiTheme="majorHAnsi" w:hAnsiTheme="majorHAnsi"/>
          <w:sz w:val="24"/>
          <w:szCs w:val="24"/>
        </w:rPr>
        <w:t>След попълването, подписването и поставянето на дата на хартиения носител,</w:t>
      </w:r>
      <w:r w:rsidR="003B0534">
        <w:rPr>
          <w:rFonts w:asciiTheme="majorHAnsi" w:hAnsiTheme="majorHAnsi"/>
          <w:sz w:val="24"/>
          <w:szCs w:val="24"/>
        </w:rPr>
        <w:t xml:space="preserve"> </w:t>
      </w:r>
      <w:r w:rsidRPr="008B01CE">
        <w:rPr>
          <w:rFonts w:asciiTheme="majorHAnsi" w:hAnsiTheme="majorHAnsi"/>
          <w:sz w:val="24"/>
          <w:szCs w:val="24"/>
        </w:rPr>
        <w:t xml:space="preserve">декларациите </w:t>
      </w:r>
      <w:r>
        <w:rPr>
          <w:rFonts w:asciiTheme="majorHAnsi" w:hAnsiTheme="majorHAnsi"/>
          <w:sz w:val="24"/>
          <w:szCs w:val="24"/>
        </w:rPr>
        <w:t xml:space="preserve"> по т. 1, 2, 3 и 4, </w:t>
      </w:r>
      <w:r w:rsidRPr="008B01CE">
        <w:rPr>
          <w:rFonts w:asciiTheme="majorHAnsi" w:hAnsiTheme="majorHAnsi"/>
          <w:sz w:val="24"/>
          <w:szCs w:val="24"/>
        </w:rPr>
        <w:t xml:space="preserve">следва </w:t>
      </w:r>
      <w:r w:rsidRPr="008B01CE">
        <w:rPr>
          <w:rFonts w:asciiTheme="majorHAnsi" w:hAnsiTheme="majorHAnsi"/>
          <w:b/>
          <w:sz w:val="24"/>
          <w:szCs w:val="24"/>
        </w:rPr>
        <w:t>да се сканират и да се прикачат</w:t>
      </w:r>
      <w:r w:rsidRPr="008B01CE">
        <w:rPr>
          <w:rFonts w:asciiTheme="majorHAnsi" w:hAnsiTheme="majorHAnsi"/>
          <w:sz w:val="24"/>
          <w:szCs w:val="24"/>
        </w:rPr>
        <w:t xml:space="preserve"> в ИСУН 2020, като </w:t>
      </w:r>
      <w:r w:rsidRPr="008B01CE">
        <w:rPr>
          <w:rFonts w:asciiTheme="majorHAnsi" w:hAnsiTheme="majorHAnsi"/>
          <w:b/>
          <w:sz w:val="24"/>
          <w:szCs w:val="24"/>
        </w:rPr>
        <w:t>не е</w:t>
      </w:r>
      <w:r w:rsidRPr="008B01CE">
        <w:rPr>
          <w:rFonts w:asciiTheme="majorHAnsi" w:hAnsiTheme="majorHAnsi"/>
          <w:sz w:val="24"/>
          <w:szCs w:val="24"/>
        </w:rPr>
        <w:t xml:space="preserve"> необходимо подписване на декларациите с КЕП преди прикачването им.</w:t>
      </w:r>
    </w:p>
    <w:p w:rsidR="005A1B22" w:rsidRDefault="00CB4FB6" w:rsidP="00E0252D">
      <w:pPr>
        <w:pStyle w:val="aa"/>
        <w:pBdr>
          <w:top w:val="single" w:sz="4" w:space="1" w:color="auto"/>
          <w:left w:val="single" w:sz="4" w:space="1" w:color="auto"/>
          <w:bottom w:val="single" w:sz="4" w:space="1" w:color="auto"/>
          <w:right w:val="single" w:sz="4" w:space="1" w:color="auto"/>
        </w:pBdr>
        <w:spacing w:after="360" w:line="240" w:lineRule="auto"/>
        <w:ind w:left="0" w:firstLine="709"/>
        <w:jc w:val="both"/>
        <w:rPr>
          <w:rFonts w:asciiTheme="majorHAnsi" w:hAnsiTheme="majorHAnsi"/>
          <w:sz w:val="24"/>
          <w:szCs w:val="24"/>
        </w:rPr>
      </w:pPr>
      <w:r w:rsidRPr="00CB4FB6">
        <w:rPr>
          <w:rFonts w:asciiTheme="majorHAnsi" w:hAnsiTheme="majorHAnsi"/>
          <w:b/>
          <w:sz w:val="24"/>
          <w:szCs w:val="24"/>
        </w:rPr>
        <w:t>ВАЖНО:</w:t>
      </w:r>
      <w:r w:rsidR="008B01CE" w:rsidRPr="008B01CE">
        <w:rPr>
          <w:rFonts w:asciiTheme="majorHAnsi" w:hAnsiTheme="majorHAnsi"/>
          <w:sz w:val="24"/>
          <w:szCs w:val="24"/>
        </w:rPr>
        <w:t xml:space="preserve"> Подписаните на хартиен носител на етап кандидатстване декларации по точки 1, 2, 3 и 4 следва да бъдат представени в оригинал при подписване на административен договор за безвъзмездна финансова помощ.</w:t>
      </w:r>
    </w:p>
    <w:p w:rsidR="008B01CE" w:rsidRPr="00AE5CD3" w:rsidRDefault="008B01CE" w:rsidP="00E0252D">
      <w:pPr>
        <w:pStyle w:val="aa"/>
        <w:pBdr>
          <w:top w:val="single" w:sz="4" w:space="1" w:color="auto"/>
          <w:left w:val="single" w:sz="4" w:space="1" w:color="auto"/>
          <w:bottom w:val="single" w:sz="4" w:space="1" w:color="auto"/>
          <w:right w:val="single" w:sz="4" w:space="1" w:color="auto"/>
        </w:pBdr>
        <w:spacing w:after="360" w:line="240" w:lineRule="auto"/>
        <w:ind w:left="0" w:firstLine="709"/>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 xml:space="preserve">5. </w:t>
      </w:r>
      <w:r w:rsidRPr="00AE5CD3">
        <w:rPr>
          <w:rFonts w:asciiTheme="majorHAnsi" w:hAnsiTheme="majorHAnsi"/>
          <w:sz w:val="24"/>
          <w:szCs w:val="24"/>
        </w:rPr>
        <w:t>Бизнес план, по образец съгласно</w:t>
      </w:r>
      <w:r w:rsidRPr="00AE5CD3">
        <w:rPr>
          <w:rFonts w:asciiTheme="majorHAnsi" w:hAnsiTheme="majorHAnsi"/>
          <w:b/>
          <w:sz w:val="24"/>
          <w:szCs w:val="24"/>
        </w:rPr>
        <w:t xml:space="preserve"> Приложение Б</w:t>
      </w:r>
      <w:r w:rsidRPr="00AE5CD3">
        <w:rPr>
          <w:rFonts w:asciiTheme="majorHAnsi" w:hAnsiTheme="majorHAnsi"/>
          <w:sz w:val="24"/>
          <w:szCs w:val="24"/>
        </w:rPr>
        <w:t>,</w:t>
      </w:r>
      <w:r w:rsidR="00923DE2" w:rsidRPr="00AE5CD3">
        <w:rPr>
          <w:rFonts w:asciiTheme="majorHAnsi" w:hAnsiTheme="majorHAnsi"/>
          <w:sz w:val="24"/>
          <w:szCs w:val="24"/>
        </w:rPr>
        <w:t xml:space="preserve"> файлов формат Ексел,</w:t>
      </w:r>
      <w:r w:rsidRPr="00AE5CD3">
        <w:rPr>
          <w:rFonts w:asciiTheme="majorHAnsi" w:hAnsiTheme="majorHAnsi"/>
          <w:b/>
          <w:sz w:val="24"/>
          <w:szCs w:val="24"/>
        </w:rPr>
        <w:t>прикачен в ИСУН 2020.</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 xml:space="preserve">ВАЖНО: </w:t>
      </w:r>
      <w:r w:rsidRPr="00AE5CD3">
        <w:rPr>
          <w:rFonts w:asciiTheme="majorHAnsi" w:hAnsiTheme="majorHAnsi"/>
          <w:sz w:val="24"/>
          <w:szCs w:val="24"/>
        </w:rPr>
        <w:t xml:space="preserve">В случай че Бизнес планът </w:t>
      </w:r>
      <w:r w:rsidRPr="00AE5CD3">
        <w:rPr>
          <w:rFonts w:asciiTheme="majorHAnsi" w:hAnsiTheme="majorHAnsi"/>
          <w:bCs/>
          <w:sz w:val="24"/>
          <w:szCs w:val="24"/>
        </w:rPr>
        <w:t>не е представен в изискуемия образец или не са попълнени всички таблици</w:t>
      </w:r>
      <w:r w:rsidRPr="00AE5CD3">
        <w:rPr>
          <w:rFonts w:asciiTheme="majorHAnsi" w:hAnsiTheme="majorHAnsi"/>
          <w:sz w:val="24"/>
          <w:szCs w:val="24"/>
        </w:rPr>
        <w:t xml:space="preserve">, същият </w:t>
      </w:r>
      <w:r w:rsidRPr="008B01CE">
        <w:rPr>
          <w:rFonts w:asciiTheme="majorHAnsi" w:hAnsiTheme="majorHAnsi"/>
          <w:b/>
          <w:sz w:val="24"/>
          <w:szCs w:val="24"/>
        </w:rPr>
        <w:t>не може</w:t>
      </w:r>
      <w:r w:rsidRPr="00AE5CD3">
        <w:rPr>
          <w:rFonts w:asciiTheme="majorHAnsi" w:hAnsiTheme="majorHAnsi"/>
          <w:sz w:val="24"/>
          <w:szCs w:val="24"/>
        </w:rPr>
        <w:t xml:space="preserve"> да бъде допълнително изискван от кандидатите и проектното предложение ще бъде отхвърлено, тъй като допълнителното му представяне ще доведе до подобряване на качеството на проектното предложение и до нарушаване на принципите по чл. 29 от ЗУСЕСИФ. </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b/>
          <w:sz w:val="24"/>
          <w:szCs w:val="24"/>
        </w:rPr>
      </w:pPr>
      <w:r w:rsidRPr="00AE5CD3">
        <w:rPr>
          <w:rFonts w:asciiTheme="majorHAnsi" w:hAnsiTheme="majorHAnsi"/>
          <w:b/>
          <w:sz w:val="24"/>
          <w:szCs w:val="24"/>
        </w:rPr>
        <w:t xml:space="preserve">6. </w:t>
      </w:r>
      <w:r w:rsidRPr="00AE5CD3">
        <w:rPr>
          <w:rFonts w:asciiTheme="majorHAnsi" w:hAnsiTheme="majorHAnsi"/>
          <w:sz w:val="24"/>
          <w:szCs w:val="24"/>
        </w:rPr>
        <w:t xml:space="preserve">Удостоверение от Националния статистически институт (НСИ) относно кода на основната икономическа дейност на кандидата, въз основа на данни за  последната приключила финансова година – </w:t>
      </w:r>
      <w:r w:rsidRPr="00AE5CD3">
        <w:rPr>
          <w:rFonts w:asciiTheme="majorHAnsi" w:hAnsiTheme="majorHAnsi"/>
          <w:b/>
          <w:sz w:val="24"/>
          <w:szCs w:val="24"/>
        </w:rPr>
        <w:t>прикачено в ИСУН 2020.</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Кандидатите, които имат приключена финансова година и са осъществявали дейност през тази година, но нямат реализирани приходи през нея, следва да предоставят Удостоверение/документ от НСИ, от което да е видно, че НСИ не може да определи код на основна икономическа дейност на кандидата въз основа на наличната информация за последната приключила финансова година.</w:t>
      </w:r>
      <w:r w:rsidR="00E66C71">
        <w:rPr>
          <w:rStyle w:val="ae"/>
          <w:rFonts w:asciiTheme="majorHAnsi" w:hAnsiTheme="majorHAnsi"/>
          <w:sz w:val="24"/>
          <w:szCs w:val="24"/>
        </w:rPr>
        <w:footnoteReference w:id="27"/>
      </w:r>
      <w:r w:rsidRPr="00AE5CD3">
        <w:rPr>
          <w:rFonts w:asciiTheme="majorHAnsi" w:hAnsiTheme="majorHAnsi"/>
          <w:sz w:val="24"/>
          <w:szCs w:val="24"/>
        </w:rPr>
        <w:t xml:space="preserve"> По отношение на тези кандидати съответствието с изискването ще бъде проверявано съобразно кода на организацията по КИД, вписан в т.2 от Формуляра за кандидатстване.</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b/>
          <w:sz w:val="24"/>
          <w:szCs w:val="24"/>
        </w:rPr>
      </w:pPr>
      <w:r w:rsidRPr="00AE5CD3">
        <w:rPr>
          <w:rFonts w:asciiTheme="majorHAnsi" w:hAnsiTheme="majorHAnsi"/>
          <w:b/>
          <w:sz w:val="24"/>
          <w:szCs w:val="24"/>
        </w:rPr>
        <w:t>7</w:t>
      </w:r>
      <w:r w:rsidRPr="00AE5CD3">
        <w:rPr>
          <w:rFonts w:asciiTheme="majorHAnsi" w:hAnsiTheme="majorHAnsi"/>
          <w:sz w:val="24"/>
          <w:szCs w:val="24"/>
        </w:rPr>
        <w:t xml:space="preserve">. Оферта </w:t>
      </w:r>
      <w:r w:rsidR="006E3DFD" w:rsidRPr="006E3DFD">
        <w:rPr>
          <w:rFonts w:asciiTheme="majorHAnsi" w:hAnsiTheme="majorHAnsi"/>
          <w:sz w:val="24"/>
          <w:szCs w:val="24"/>
        </w:rPr>
        <w:t>от производител или първи доставчик</w:t>
      </w:r>
      <w:r w:rsidR="006E3DFD">
        <w:rPr>
          <w:rStyle w:val="ae"/>
          <w:rFonts w:asciiTheme="majorHAnsi" w:hAnsiTheme="majorHAnsi"/>
          <w:sz w:val="24"/>
          <w:szCs w:val="24"/>
        </w:rPr>
        <w:footnoteReference w:id="28"/>
      </w:r>
      <w:r w:rsidRPr="00AE5CD3">
        <w:rPr>
          <w:rFonts w:asciiTheme="majorHAnsi" w:hAnsiTheme="majorHAnsi"/>
          <w:sz w:val="24"/>
          <w:szCs w:val="24"/>
        </w:rPr>
        <w:t>за всяка отделна инвестиция в активи – ДМА и ДНА, с предложена цена от производителя/първия доставчик</w:t>
      </w:r>
      <w:r w:rsidR="00A427C6">
        <w:rPr>
          <w:rStyle w:val="ae"/>
          <w:rFonts w:asciiTheme="majorHAnsi" w:hAnsiTheme="majorHAnsi"/>
          <w:sz w:val="24"/>
          <w:szCs w:val="24"/>
        </w:rPr>
        <w:footnoteReference w:id="29"/>
      </w:r>
      <w:r w:rsidRPr="00AE5CD3">
        <w:rPr>
          <w:rFonts w:asciiTheme="majorHAnsi" w:hAnsiTheme="majorHAnsi"/>
          <w:sz w:val="24"/>
          <w:szCs w:val="24"/>
        </w:rPr>
        <w:t xml:space="preserve"> – </w:t>
      </w:r>
      <w:r w:rsidRPr="00AE5CD3">
        <w:rPr>
          <w:rFonts w:asciiTheme="majorHAnsi" w:hAnsiTheme="majorHAnsi"/>
          <w:b/>
          <w:sz w:val="24"/>
          <w:szCs w:val="24"/>
        </w:rPr>
        <w:t>прикачени в ИСУН 2020.</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lastRenderedPageBreak/>
        <w:t xml:space="preserve">ВАЖНО: </w:t>
      </w:r>
      <w:r w:rsidRPr="00AE5CD3">
        <w:rPr>
          <w:rFonts w:asciiTheme="majorHAnsi" w:hAnsiTheme="majorHAnsi"/>
          <w:sz w:val="24"/>
          <w:szCs w:val="24"/>
        </w:rPr>
        <w:t>В случаите, когато инвестицията е в ДМА и ДНА, документите по т. 7 трябва да съдържат информация за: наименованието на оферента;</w:t>
      </w:r>
      <w:r w:rsidR="00675D84">
        <w:rPr>
          <w:rFonts w:asciiTheme="majorHAnsi" w:hAnsiTheme="majorHAnsi"/>
          <w:sz w:val="24"/>
          <w:szCs w:val="24"/>
        </w:rPr>
        <w:t xml:space="preserve"> </w:t>
      </w:r>
      <w:r w:rsidR="00652A72" w:rsidRPr="00652A72">
        <w:rPr>
          <w:rFonts w:asciiTheme="majorHAnsi" w:hAnsiTheme="majorHAnsi"/>
          <w:sz w:val="24"/>
          <w:szCs w:val="24"/>
        </w:rPr>
        <w:t>лицето, което я е издало от името на оферента, като напр. подпис, електронен подпис или разпечатка на електронно съобщение, с което е получена,</w:t>
      </w:r>
      <w:r w:rsidRPr="00AE5CD3">
        <w:rPr>
          <w:rFonts w:asciiTheme="majorHAnsi" w:hAnsiTheme="majorHAnsi"/>
          <w:sz w:val="24"/>
          <w:szCs w:val="24"/>
        </w:rPr>
        <w:t xml:space="preserve"> технически и/или функционални характеристики на оборудването, съответстващи на посочените минимални технически и/или функционални характеристики, цена на оборудване и вид на валутата.</w:t>
      </w:r>
    </w:p>
    <w:p w:rsidR="005E37C5" w:rsidRPr="00AE5CD3" w:rsidRDefault="005E37C5"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color w:val="FF0000"/>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7.1</w:t>
      </w:r>
      <w:r w:rsidRPr="00AE5CD3">
        <w:rPr>
          <w:rFonts w:asciiTheme="majorHAnsi" w:hAnsiTheme="majorHAnsi"/>
          <w:sz w:val="24"/>
          <w:szCs w:val="24"/>
        </w:rPr>
        <w:t xml:space="preserve"> Декларация от производителя/оторизационно писмо от първи доставчик/договор за търговско представителство между производител и първи доставчик или друг относим документ, от който да е видно, че е спазено изискването за предоставяне на оферта от производител или първи доставчик – </w:t>
      </w:r>
      <w:r w:rsidRPr="00AE5CD3">
        <w:rPr>
          <w:rFonts w:asciiTheme="majorHAnsi" w:hAnsiTheme="majorHAnsi"/>
          <w:b/>
          <w:sz w:val="24"/>
          <w:szCs w:val="24"/>
        </w:rPr>
        <w:t>прикачен в ИСУН 2020.</w:t>
      </w:r>
    </w:p>
    <w:p w:rsidR="005A1B22"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 xml:space="preserve">ВАЖНО: </w:t>
      </w:r>
      <w:r w:rsidRPr="00AE5CD3">
        <w:rPr>
          <w:rFonts w:asciiTheme="majorHAnsi" w:hAnsiTheme="majorHAnsi"/>
          <w:sz w:val="24"/>
          <w:szCs w:val="24"/>
        </w:rPr>
        <w:t>В случай на непредставяне на документи по т.7 и/или т. 7.1, посоченото няма да доведе до отхвърляне на проектното предложение, но съответният разход, за който се отнасят, ще бъде премахнат от бюджета на проекта (т. 5 от Формуляра за кандидатстване) служебно от Комисията за подбор.</w:t>
      </w:r>
    </w:p>
    <w:p w:rsidR="00B95EFA" w:rsidRPr="00AE5CD3" w:rsidRDefault="00B95EFA"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Default="00B95EFA"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sz w:val="24"/>
          <w:szCs w:val="24"/>
          <w:lang w:eastAsia="bg-BG"/>
        </w:rPr>
      </w:pPr>
      <w:r w:rsidRPr="00B95EFA">
        <w:rPr>
          <w:rFonts w:asciiTheme="majorHAnsi" w:eastAsia="Times New Roman" w:hAnsiTheme="majorHAnsi"/>
          <w:sz w:val="24"/>
          <w:szCs w:val="24"/>
          <w:lang w:eastAsia="bg-BG"/>
        </w:rPr>
        <w:t>В случай на представяне на декларация от производител/оторизационно писмо от първи доставчик/договор за търговско представителство между производител и първи доставчик, документите трябва да бъдат подписани от лице с представителна власт по отношение на производителя и/или първия доставчик в зависимост от спецификата на документа, като осигуряването на съответствие с това изискване е отговорност на кандидата.</w:t>
      </w:r>
    </w:p>
    <w:p w:rsidR="00B95EFA" w:rsidRPr="00AE5CD3" w:rsidRDefault="00B95EFA"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sz w:val="24"/>
          <w:szCs w:val="24"/>
          <w:lang w:eastAsia="bg-BG"/>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8.</w:t>
      </w:r>
      <w:r w:rsidRPr="00AE5CD3">
        <w:rPr>
          <w:rFonts w:asciiTheme="majorHAnsi" w:hAnsiTheme="majorHAnsi"/>
          <w:sz w:val="24"/>
          <w:szCs w:val="24"/>
        </w:rPr>
        <w:t xml:space="preserve"> Техническа спецификация на предвидените за закупуване ДМА и ДНА  – попълнена по образец (Приложение А) – </w:t>
      </w:r>
      <w:r w:rsidRPr="00AE5CD3">
        <w:rPr>
          <w:rFonts w:asciiTheme="majorHAnsi" w:hAnsiTheme="majorHAnsi"/>
          <w:b/>
          <w:sz w:val="24"/>
          <w:szCs w:val="24"/>
        </w:rPr>
        <w:t>прикачена в ИСУН 2020</w:t>
      </w:r>
      <w:r w:rsidRPr="00AE5CD3">
        <w:rPr>
          <w:rFonts w:asciiTheme="majorHAnsi" w:hAnsiTheme="majorHAnsi"/>
          <w:sz w:val="24"/>
          <w:szCs w:val="24"/>
        </w:rPr>
        <w:t>.</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sz w:val="24"/>
          <w:szCs w:val="24"/>
          <w:lang w:eastAsia="bg-BG"/>
        </w:rPr>
      </w:pPr>
      <w:r w:rsidRPr="00AE5CD3">
        <w:rPr>
          <w:rFonts w:asciiTheme="majorHAnsi" w:eastAsia="Times New Roman" w:hAnsiTheme="majorHAnsi"/>
          <w:b/>
          <w:sz w:val="24"/>
          <w:szCs w:val="24"/>
          <w:lang w:eastAsia="bg-BG"/>
        </w:rPr>
        <w:t>ВАЖНО:</w:t>
      </w:r>
      <w:r w:rsidRPr="00AE5CD3">
        <w:rPr>
          <w:rFonts w:asciiTheme="majorHAnsi" w:eastAsia="Times New Roman" w:hAnsiTheme="majorHAnsi"/>
          <w:sz w:val="24"/>
          <w:szCs w:val="24"/>
          <w:lang w:eastAsia="bg-BG"/>
        </w:rPr>
        <w:t xml:space="preserve"> В </w:t>
      </w:r>
      <w:r w:rsidRPr="00AE5CD3">
        <w:rPr>
          <w:rFonts w:asciiTheme="majorHAnsi" w:eastAsia="Times New Roman" w:hAnsiTheme="majorHAnsi"/>
          <w:color w:val="000000"/>
          <w:sz w:val="24"/>
          <w:szCs w:val="24"/>
          <w:lang w:eastAsia="bg-BG"/>
        </w:rPr>
        <w:t>случай че е приложимо</w:t>
      </w:r>
      <w:r w:rsidRPr="00AE5CD3">
        <w:rPr>
          <w:rFonts w:asciiTheme="majorHAnsi" w:eastAsia="Times New Roman" w:hAnsiTheme="majorHAnsi"/>
          <w:sz w:val="24"/>
          <w:szCs w:val="24"/>
          <w:lang w:eastAsia="bg-BG"/>
        </w:rPr>
        <w:t xml:space="preserve"> и не е представена Техническа спецификация или не е представена в изискуемия образец, документът не може да бъде допълнително изискван от кандидатите, тъй като допълнителното му представяне ще доведе до подобряване на качеството на проектното предложение и до нарушаване на принципите по чл. 29 от ЗУСЕСИФ. Непредставянето на документа няма да доведе до отхвърляне на проектното предложение, но ще доведе до редуциране на разходи в бюджета на проектното предложение (т. 5 от Формуляра за кандидатстване).</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sz w:val="24"/>
          <w:szCs w:val="24"/>
          <w:lang w:eastAsia="bg-BG"/>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b/>
          <w:sz w:val="24"/>
          <w:szCs w:val="24"/>
        </w:rPr>
      </w:pPr>
      <w:r w:rsidRPr="00AE5CD3">
        <w:rPr>
          <w:rFonts w:asciiTheme="majorHAnsi" w:hAnsiTheme="majorHAnsi"/>
          <w:b/>
          <w:sz w:val="24"/>
          <w:szCs w:val="24"/>
        </w:rPr>
        <w:t xml:space="preserve">9. </w:t>
      </w:r>
      <w:r w:rsidRPr="00AE5CD3">
        <w:rPr>
          <w:rFonts w:asciiTheme="majorHAnsi" w:hAnsiTheme="majorHAnsi"/>
          <w:sz w:val="24"/>
          <w:szCs w:val="24"/>
        </w:rPr>
        <w:t xml:space="preserve">Пълномощно за подаване на проектното предложение с КЕП (ако е приложимо) – </w:t>
      </w:r>
      <w:r w:rsidRPr="00AE5CD3">
        <w:rPr>
          <w:rFonts w:asciiTheme="majorHAnsi" w:hAnsiTheme="majorHAnsi"/>
          <w:b/>
          <w:sz w:val="24"/>
          <w:szCs w:val="24"/>
        </w:rPr>
        <w:t>прикачено в</w:t>
      </w:r>
      <w:r w:rsidR="00E66C71">
        <w:rPr>
          <w:rFonts w:asciiTheme="majorHAnsi" w:hAnsiTheme="majorHAnsi"/>
          <w:b/>
          <w:sz w:val="24"/>
          <w:szCs w:val="24"/>
        </w:rPr>
        <w:t xml:space="preserve"> </w:t>
      </w:r>
      <w:r w:rsidRPr="00AE5CD3">
        <w:rPr>
          <w:rFonts w:asciiTheme="majorHAnsi" w:hAnsiTheme="majorHAnsi"/>
          <w:b/>
          <w:sz w:val="24"/>
          <w:szCs w:val="24"/>
        </w:rPr>
        <w:t>ИСУН 2020.</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Пълномощното се попълва, датира и подписва на хартиен носител от лице с право да представлява кандидата. В случаите, когато кандидатът се представлява заедно от няколко физически лица, се попълват данните и пълномощното се подписва от всяко от тях. След попълването, подписването и поставянето на дата на хартиения носител, пълномощното следва да се сканира и да се прикачи в ИУСН 2020.</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От пълномощното следва да е видно, че лицето е упълномощено да представлява кандидата към датата на кандидатстване за подаване на проектното предложение по процедурата.</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Документът не е задължителен за всички кандидати, а се изисква в случай че кандидатите желаят да упълномощят лице, което не е официален представител на предприятието да подаде проектното предложение с КЕП.</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10.</w:t>
      </w:r>
      <w:r w:rsidRPr="00AE5CD3">
        <w:rPr>
          <w:rFonts w:asciiTheme="majorHAnsi" w:hAnsiTheme="majorHAnsi"/>
          <w:sz w:val="24"/>
          <w:szCs w:val="24"/>
        </w:rPr>
        <w:t xml:space="preserve"> Счетоводна политика на кандидата, изготвена съгласно приложимите счетоводни стандарти –</w:t>
      </w:r>
      <w:r w:rsidRPr="00AE5CD3">
        <w:rPr>
          <w:rFonts w:asciiTheme="majorHAnsi" w:hAnsiTheme="majorHAnsi"/>
          <w:b/>
          <w:sz w:val="24"/>
          <w:szCs w:val="24"/>
        </w:rPr>
        <w:t>прикачена в ИСУН 2020</w:t>
      </w:r>
      <w:r w:rsidRPr="00AE5CD3">
        <w:rPr>
          <w:rFonts w:asciiTheme="majorHAnsi" w:hAnsiTheme="majorHAnsi"/>
          <w:sz w:val="24"/>
          <w:szCs w:val="24"/>
        </w:rPr>
        <w:t>.</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 xml:space="preserve">ВАЖНО: </w:t>
      </w:r>
      <w:r w:rsidRPr="00AE5CD3">
        <w:rPr>
          <w:rFonts w:asciiTheme="majorHAnsi" w:hAnsiTheme="majorHAnsi"/>
          <w:sz w:val="24"/>
          <w:szCs w:val="24"/>
        </w:rPr>
        <w:t>Документът е незадължителен и непредставянето му няма да доведе до отхвърляне на проектното предложение, но оценката на допустимостта на разходите за ДМА и ДНА ще бъде извършвана съгласно стойностния праг на същественост, определен съответно в чл. 50, т. 2 и чл. 51, ал. 1, т. 1, г), бб) от ЗКПО.</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color w:val="000000"/>
          <w:sz w:val="24"/>
          <w:szCs w:val="24"/>
        </w:rPr>
      </w:pPr>
      <w:r w:rsidRPr="00AE5CD3">
        <w:rPr>
          <w:rFonts w:asciiTheme="majorHAnsi" w:hAnsiTheme="majorHAnsi"/>
          <w:b/>
          <w:sz w:val="24"/>
          <w:szCs w:val="24"/>
        </w:rPr>
        <w:t>11.</w:t>
      </w:r>
      <w:r w:rsidRPr="00AE5CD3">
        <w:rPr>
          <w:rFonts w:asciiTheme="majorHAnsi" w:hAnsiTheme="majorHAnsi"/>
          <w:sz w:val="24"/>
          <w:szCs w:val="24"/>
        </w:rPr>
        <w:t xml:space="preserve"> Отчет за приходите и разходите и </w:t>
      </w:r>
      <w:r w:rsidRPr="00AE5CD3">
        <w:rPr>
          <w:rFonts w:asciiTheme="majorHAnsi" w:eastAsia="Times New Roman" w:hAnsiTheme="majorHAnsi"/>
          <w:sz w:val="24"/>
          <w:szCs w:val="24"/>
          <w:lang w:eastAsia="bg-BG"/>
        </w:rPr>
        <w:t>Справка за приходите и разходите по видове и икономически дейности</w:t>
      </w:r>
      <w:r w:rsidRPr="00AE5CD3">
        <w:rPr>
          <w:rStyle w:val="ae"/>
          <w:rFonts w:asciiTheme="majorHAnsi" w:eastAsia="Times New Roman" w:hAnsiTheme="majorHAnsi"/>
          <w:sz w:val="24"/>
          <w:szCs w:val="24"/>
          <w:lang w:eastAsia="bg-BG"/>
        </w:rPr>
        <w:footnoteReference w:id="30"/>
      </w:r>
      <w:r w:rsidRPr="00AE5CD3">
        <w:rPr>
          <w:rFonts w:asciiTheme="majorHAnsi" w:eastAsia="Times New Roman" w:hAnsiTheme="majorHAnsi"/>
          <w:sz w:val="24"/>
          <w:szCs w:val="24"/>
          <w:lang w:eastAsia="bg-BG"/>
        </w:rPr>
        <w:t>за последните три</w:t>
      </w:r>
      <w:r w:rsidR="00E66C71">
        <w:rPr>
          <w:rFonts w:asciiTheme="majorHAnsi" w:eastAsia="Times New Roman" w:hAnsiTheme="majorHAnsi"/>
          <w:sz w:val="24"/>
          <w:szCs w:val="24"/>
          <w:lang w:eastAsia="bg-BG"/>
        </w:rPr>
        <w:t xml:space="preserve"> </w:t>
      </w:r>
      <w:r w:rsidR="00652A72" w:rsidRPr="00652A72">
        <w:rPr>
          <w:rFonts w:asciiTheme="majorHAnsi" w:eastAsia="Times New Roman" w:hAnsiTheme="majorHAnsi"/>
          <w:sz w:val="24"/>
          <w:szCs w:val="24"/>
          <w:lang w:eastAsia="bg-BG"/>
        </w:rPr>
        <w:t xml:space="preserve">приключени </w:t>
      </w:r>
      <w:r w:rsidR="00AD2AE7">
        <w:rPr>
          <w:rFonts w:asciiTheme="majorHAnsi" w:eastAsia="Times New Roman" w:hAnsiTheme="majorHAnsi"/>
          <w:sz w:val="24"/>
          <w:szCs w:val="24"/>
          <w:lang w:eastAsia="bg-BG"/>
        </w:rPr>
        <w:t>бюджетни</w:t>
      </w:r>
      <w:r w:rsidRPr="00AE5CD3">
        <w:rPr>
          <w:rFonts w:asciiTheme="majorHAnsi" w:eastAsia="Times New Roman" w:hAnsiTheme="majorHAnsi"/>
          <w:sz w:val="24"/>
          <w:szCs w:val="24"/>
          <w:lang w:eastAsia="bg-BG"/>
        </w:rPr>
        <w:t xml:space="preserve"> години </w:t>
      </w:r>
      <w:r w:rsidRPr="00AE5CD3">
        <w:rPr>
          <w:rFonts w:asciiTheme="majorHAnsi" w:eastAsia="Times New Roman" w:hAnsiTheme="majorHAnsi"/>
          <w:color w:val="000000"/>
          <w:sz w:val="24"/>
          <w:szCs w:val="24"/>
          <w:lang w:eastAsia="bg-BG"/>
        </w:rPr>
        <w:t xml:space="preserve">– </w:t>
      </w:r>
      <w:r w:rsidR="00652A72" w:rsidRPr="00AE5CD3">
        <w:rPr>
          <w:rFonts w:asciiTheme="majorHAnsi" w:hAnsiTheme="majorHAnsi"/>
          <w:b/>
          <w:color w:val="000000"/>
          <w:sz w:val="24"/>
          <w:szCs w:val="24"/>
        </w:rPr>
        <w:t>прикачен</w:t>
      </w:r>
      <w:r w:rsidR="00652A72">
        <w:rPr>
          <w:rFonts w:asciiTheme="majorHAnsi" w:hAnsiTheme="majorHAnsi"/>
          <w:b/>
          <w:color w:val="000000"/>
          <w:sz w:val="24"/>
          <w:szCs w:val="24"/>
        </w:rPr>
        <w:t>и</w:t>
      </w:r>
      <w:r w:rsidR="00E66C71">
        <w:rPr>
          <w:rFonts w:asciiTheme="majorHAnsi" w:hAnsiTheme="majorHAnsi"/>
          <w:b/>
          <w:color w:val="000000"/>
          <w:sz w:val="24"/>
          <w:szCs w:val="24"/>
        </w:rPr>
        <w:t xml:space="preserve"> </w:t>
      </w:r>
      <w:r w:rsidRPr="00AE5CD3">
        <w:rPr>
          <w:rFonts w:asciiTheme="majorHAnsi" w:hAnsiTheme="majorHAnsi"/>
          <w:b/>
          <w:color w:val="000000"/>
          <w:sz w:val="24"/>
          <w:szCs w:val="24"/>
        </w:rPr>
        <w:t>в ИСУН 2020</w:t>
      </w:r>
      <w:r w:rsidRPr="00AE5CD3">
        <w:rPr>
          <w:rFonts w:asciiTheme="majorHAnsi" w:hAnsiTheme="majorHAnsi"/>
          <w:color w:val="000000"/>
          <w:sz w:val="24"/>
          <w:szCs w:val="24"/>
        </w:rPr>
        <w:t>;</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i/>
          <w:sz w:val="20"/>
          <w:szCs w:val="24"/>
          <w:lang w:eastAsia="pl-PL"/>
        </w:rPr>
      </w:pPr>
      <w:r w:rsidRPr="00AE5CD3">
        <w:rPr>
          <w:rFonts w:asciiTheme="majorHAnsi" w:hAnsiTheme="majorHAnsi"/>
          <w:sz w:val="24"/>
          <w:szCs w:val="24"/>
        </w:rPr>
        <w:t xml:space="preserve">В случай че посочените документи са оповестени в Търговския регистър </w:t>
      </w:r>
      <w:r w:rsidR="007D40C3">
        <w:rPr>
          <w:rFonts w:asciiTheme="majorHAnsi" w:hAnsiTheme="majorHAnsi"/>
          <w:sz w:val="24"/>
          <w:szCs w:val="24"/>
        </w:rPr>
        <w:t xml:space="preserve"> и регистъра на ЮЛНЦ</w:t>
      </w:r>
      <w:r w:rsidR="008264AB">
        <w:rPr>
          <w:rFonts w:asciiTheme="majorHAnsi" w:hAnsiTheme="majorHAnsi"/>
          <w:sz w:val="24"/>
          <w:szCs w:val="24"/>
        </w:rPr>
        <w:t xml:space="preserve"> </w:t>
      </w:r>
      <w:r w:rsidRPr="00AE5CD3">
        <w:rPr>
          <w:rFonts w:asciiTheme="majorHAnsi" w:hAnsiTheme="majorHAnsi"/>
          <w:sz w:val="24"/>
          <w:szCs w:val="24"/>
        </w:rPr>
        <w:t>към датата на кандидатстване и са в идентичен формат на този, в който са подадени към НСИ, това обстоятелство ще се проверява по служебен път съгласно чл. 23, ал. 6 от Закона за търговския регистър</w:t>
      </w:r>
      <w:r w:rsidR="00E66C71">
        <w:rPr>
          <w:rFonts w:asciiTheme="majorHAnsi" w:hAnsiTheme="majorHAnsi"/>
          <w:sz w:val="24"/>
          <w:szCs w:val="24"/>
        </w:rPr>
        <w:t xml:space="preserve"> </w:t>
      </w:r>
      <w:r w:rsidR="007D40C3">
        <w:rPr>
          <w:rFonts w:asciiTheme="majorHAnsi" w:hAnsiTheme="majorHAnsi"/>
          <w:sz w:val="24"/>
          <w:szCs w:val="24"/>
        </w:rPr>
        <w:t>и регистъра на ЮЛНЦ</w:t>
      </w:r>
      <w:r w:rsidRPr="00AE5CD3">
        <w:rPr>
          <w:rFonts w:asciiTheme="majorHAnsi" w:hAnsiTheme="majorHAnsi"/>
          <w:sz w:val="24"/>
          <w:szCs w:val="24"/>
        </w:rPr>
        <w:t>.</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i/>
          <w:szCs w:val="24"/>
          <w:lang w:eastAsia="pl-PL"/>
        </w:rPr>
      </w:pPr>
      <w:r w:rsidRPr="00AE5CD3">
        <w:rPr>
          <w:rFonts w:asciiTheme="majorHAnsi" w:eastAsia="Times New Roman" w:hAnsiTheme="majorHAnsi"/>
          <w:i/>
          <w:szCs w:val="24"/>
          <w:lang w:eastAsia="pl-PL"/>
        </w:rPr>
        <w:t xml:space="preserve">Трите приключили </w:t>
      </w:r>
      <w:r w:rsidR="00AD2AE7">
        <w:rPr>
          <w:rFonts w:asciiTheme="majorHAnsi" w:eastAsia="Times New Roman" w:hAnsiTheme="majorHAnsi"/>
          <w:i/>
          <w:szCs w:val="24"/>
          <w:lang w:eastAsia="pl-PL"/>
        </w:rPr>
        <w:t>бюджетни</w:t>
      </w:r>
      <w:r w:rsidRPr="00AE5CD3">
        <w:rPr>
          <w:rFonts w:asciiTheme="majorHAnsi" w:eastAsia="Times New Roman" w:hAnsiTheme="majorHAnsi"/>
          <w:i/>
          <w:szCs w:val="24"/>
          <w:lang w:eastAsia="pl-PL"/>
        </w:rPr>
        <w:t xml:space="preserve"> години за Първи прием </w:t>
      </w:r>
      <w:r w:rsidR="005E37C5" w:rsidRPr="00AE5CD3">
        <w:rPr>
          <w:rFonts w:asciiTheme="majorHAnsi" w:eastAsia="Times New Roman" w:hAnsiTheme="majorHAnsi"/>
          <w:i/>
          <w:szCs w:val="24"/>
          <w:lang w:eastAsia="pl-PL"/>
        </w:rPr>
        <w:t>са</w:t>
      </w:r>
      <w:r w:rsidRPr="00AE5CD3">
        <w:rPr>
          <w:rFonts w:asciiTheme="majorHAnsi" w:eastAsia="Times New Roman" w:hAnsiTheme="majorHAnsi"/>
          <w:i/>
          <w:szCs w:val="24"/>
          <w:lang w:eastAsia="pl-PL"/>
        </w:rPr>
        <w:t xml:space="preserve"> – 2015, 2016 и 2017 г.</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i/>
          <w:szCs w:val="24"/>
          <w:lang w:eastAsia="pl-PL"/>
        </w:rPr>
      </w:pPr>
      <w:r w:rsidRPr="00AE5CD3">
        <w:rPr>
          <w:rFonts w:asciiTheme="majorHAnsi" w:eastAsia="Times New Roman" w:hAnsiTheme="majorHAnsi"/>
          <w:i/>
          <w:szCs w:val="24"/>
          <w:lang w:eastAsia="pl-PL"/>
        </w:rPr>
        <w:t xml:space="preserve">Трите приключили </w:t>
      </w:r>
      <w:r w:rsidR="00AD2AE7">
        <w:rPr>
          <w:rFonts w:asciiTheme="majorHAnsi" w:eastAsia="Times New Roman" w:hAnsiTheme="majorHAnsi"/>
          <w:i/>
          <w:szCs w:val="24"/>
          <w:lang w:eastAsia="pl-PL"/>
        </w:rPr>
        <w:t>бюджетни</w:t>
      </w:r>
      <w:r w:rsidRPr="00AE5CD3">
        <w:rPr>
          <w:rFonts w:asciiTheme="majorHAnsi" w:eastAsia="Times New Roman" w:hAnsiTheme="majorHAnsi"/>
          <w:i/>
          <w:szCs w:val="24"/>
          <w:lang w:eastAsia="pl-PL"/>
        </w:rPr>
        <w:t xml:space="preserve"> години за Втори прием </w:t>
      </w:r>
      <w:r w:rsidR="005E37C5" w:rsidRPr="00AE5CD3">
        <w:rPr>
          <w:rFonts w:asciiTheme="majorHAnsi" w:eastAsia="Times New Roman" w:hAnsiTheme="majorHAnsi"/>
          <w:i/>
          <w:szCs w:val="24"/>
          <w:lang w:eastAsia="pl-PL"/>
        </w:rPr>
        <w:t xml:space="preserve"> са</w:t>
      </w:r>
      <w:r w:rsidRPr="00AE5CD3">
        <w:rPr>
          <w:rFonts w:asciiTheme="majorHAnsi" w:eastAsia="Times New Roman" w:hAnsiTheme="majorHAnsi"/>
          <w:i/>
          <w:szCs w:val="24"/>
          <w:lang w:eastAsia="pl-PL"/>
        </w:rPr>
        <w:t xml:space="preserve"> – 2016, 2017 и 2018 г.</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8"/>
          <w:szCs w:val="24"/>
        </w:rPr>
      </w:pPr>
      <w:r w:rsidRPr="00AE5CD3">
        <w:rPr>
          <w:rFonts w:asciiTheme="majorHAnsi" w:eastAsia="Times New Roman" w:hAnsiTheme="majorHAnsi"/>
          <w:i/>
          <w:szCs w:val="24"/>
          <w:lang w:eastAsia="pl-PL"/>
        </w:rPr>
        <w:t xml:space="preserve">Трите приключили </w:t>
      </w:r>
      <w:r w:rsidR="00AD2AE7">
        <w:rPr>
          <w:rFonts w:asciiTheme="majorHAnsi" w:eastAsia="Times New Roman" w:hAnsiTheme="majorHAnsi"/>
          <w:i/>
          <w:szCs w:val="24"/>
          <w:lang w:eastAsia="pl-PL"/>
        </w:rPr>
        <w:t>бюджетни</w:t>
      </w:r>
      <w:r w:rsidRPr="00AE5CD3">
        <w:rPr>
          <w:rFonts w:asciiTheme="majorHAnsi" w:eastAsia="Times New Roman" w:hAnsiTheme="majorHAnsi"/>
          <w:i/>
          <w:szCs w:val="24"/>
          <w:lang w:eastAsia="pl-PL"/>
        </w:rPr>
        <w:t xml:space="preserve"> години за Трети прием </w:t>
      </w:r>
      <w:r w:rsidR="005E37C5" w:rsidRPr="00AE5CD3">
        <w:rPr>
          <w:rFonts w:asciiTheme="majorHAnsi" w:eastAsia="Times New Roman" w:hAnsiTheme="majorHAnsi"/>
          <w:i/>
          <w:szCs w:val="24"/>
          <w:lang w:eastAsia="pl-PL"/>
        </w:rPr>
        <w:t xml:space="preserve">са </w:t>
      </w:r>
      <w:r w:rsidRPr="00AE5CD3">
        <w:rPr>
          <w:rFonts w:asciiTheme="majorHAnsi" w:eastAsia="Times New Roman" w:hAnsiTheme="majorHAnsi"/>
          <w:i/>
          <w:szCs w:val="24"/>
          <w:lang w:eastAsia="pl-PL"/>
        </w:rPr>
        <w:t>– 201</w:t>
      </w:r>
      <w:r w:rsidR="005E37C5" w:rsidRPr="00AE5CD3">
        <w:rPr>
          <w:rFonts w:asciiTheme="majorHAnsi" w:eastAsia="Times New Roman" w:hAnsiTheme="majorHAnsi"/>
          <w:i/>
          <w:szCs w:val="24"/>
          <w:lang w:eastAsia="pl-PL"/>
        </w:rPr>
        <w:t>7</w:t>
      </w:r>
      <w:r w:rsidRPr="00AE5CD3">
        <w:rPr>
          <w:rFonts w:asciiTheme="majorHAnsi" w:eastAsia="Times New Roman" w:hAnsiTheme="majorHAnsi"/>
          <w:i/>
          <w:szCs w:val="24"/>
          <w:lang w:eastAsia="pl-PL"/>
        </w:rPr>
        <w:t>, 201</w:t>
      </w:r>
      <w:r w:rsidR="005E37C5" w:rsidRPr="00AE5CD3">
        <w:rPr>
          <w:rFonts w:asciiTheme="majorHAnsi" w:eastAsia="Times New Roman" w:hAnsiTheme="majorHAnsi"/>
          <w:i/>
          <w:szCs w:val="24"/>
          <w:lang w:eastAsia="pl-PL"/>
        </w:rPr>
        <w:t>8</w:t>
      </w:r>
      <w:r w:rsidRPr="00AE5CD3">
        <w:rPr>
          <w:rFonts w:asciiTheme="majorHAnsi" w:eastAsia="Times New Roman" w:hAnsiTheme="majorHAnsi"/>
          <w:i/>
          <w:szCs w:val="24"/>
          <w:lang w:eastAsia="pl-PL"/>
        </w:rPr>
        <w:t xml:space="preserve"> и 201</w:t>
      </w:r>
      <w:r w:rsidR="005E37C5" w:rsidRPr="00AE5CD3">
        <w:rPr>
          <w:rFonts w:asciiTheme="majorHAnsi" w:eastAsia="Times New Roman" w:hAnsiTheme="majorHAnsi"/>
          <w:i/>
          <w:szCs w:val="24"/>
          <w:lang w:eastAsia="pl-PL"/>
        </w:rPr>
        <w:t>9</w:t>
      </w:r>
      <w:r w:rsidRPr="00AE5CD3">
        <w:rPr>
          <w:rFonts w:asciiTheme="majorHAnsi" w:eastAsia="Times New Roman" w:hAnsiTheme="majorHAnsi"/>
          <w:i/>
          <w:szCs w:val="24"/>
          <w:lang w:eastAsia="pl-PL"/>
        </w:rPr>
        <w:t xml:space="preserve"> г.</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b/>
          <w:sz w:val="24"/>
          <w:szCs w:val="24"/>
        </w:rPr>
      </w:pPr>
      <w:r w:rsidRPr="00AE5CD3">
        <w:rPr>
          <w:rFonts w:asciiTheme="majorHAnsi" w:hAnsiTheme="majorHAnsi"/>
          <w:b/>
          <w:sz w:val="24"/>
          <w:szCs w:val="24"/>
        </w:rPr>
        <w:t>1</w:t>
      </w:r>
      <w:r w:rsidR="000962BC">
        <w:rPr>
          <w:rFonts w:asciiTheme="majorHAnsi" w:hAnsiTheme="majorHAnsi"/>
          <w:b/>
          <w:sz w:val="24"/>
          <w:szCs w:val="24"/>
        </w:rPr>
        <w:t>2</w:t>
      </w:r>
      <w:r w:rsidRPr="00AE5CD3">
        <w:rPr>
          <w:rFonts w:asciiTheme="majorHAnsi" w:hAnsiTheme="majorHAnsi"/>
          <w:b/>
          <w:sz w:val="24"/>
          <w:szCs w:val="24"/>
        </w:rPr>
        <w:t>.</w:t>
      </w:r>
      <w:r w:rsidRPr="00AE5CD3">
        <w:rPr>
          <w:rFonts w:asciiTheme="majorHAnsi" w:hAnsiTheme="majorHAnsi"/>
          <w:sz w:val="24"/>
          <w:szCs w:val="24"/>
        </w:rPr>
        <w:t xml:space="preserve"> Счетоводен баланс за последните три приключени </w:t>
      </w:r>
      <w:r w:rsidR="00AD2AE7">
        <w:rPr>
          <w:rFonts w:asciiTheme="majorHAnsi" w:hAnsiTheme="majorHAnsi"/>
          <w:sz w:val="24"/>
          <w:szCs w:val="24"/>
        </w:rPr>
        <w:t>бюджетни</w:t>
      </w:r>
      <w:r w:rsidRPr="00AE5CD3">
        <w:rPr>
          <w:rFonts w:asciiTheme="majorHAnsi" w:hAnsiTheme="majorHAnsi"/>
          <w:sz w:val="24"/>
          <w:szCs w:val="24"/>
        </w:rPr>
        <w:t xml:space="preserve"> години</w:t>
      </w:r>
      <w:r w:rsidRPr="00AE5CD3">
        <w:rPr>
          <w:rStyle w:val="ae"/>
          <w:rFonts w:asciiTheme="majorHAnsi" w:hAnsiTheme="majorHAnsi"/>
          <w:sz w:val="24"/>
          <w:szCs w:val="24"/>
        </w:rPr>
        <w:footnoteReference w:id="31"/>
      </w:r>
      <w:r w:rsidRPr="00AE5CD3">
        <w:rPr>
          <w:rFonts w:asciiTheme="majorHAnsi" w:hAnsiTheme="majorHAnsi"/>
          <w:sz w:val="24"/>
          <w:szCs w:val="24"/>
        </w:rPr>
        <w:t xml:space="preserve"> (индивидуален) </w:t>
      </w:r>
      <w:r w:rsidRPr="00AE5CD3">
        <w:rPr>
          <w:rFonts w:asciiTheme="majorHAnsi" w:hAnsiTheme="majorHAnsi"/>
          <w:b/>
          <w:sz w:val="24"/>
          <w:szCs w:val="24"/>
        </w:rPr>
        <w:t>-  прикачена в ИСУН 2020.</w:t>
      </w:r>
    </w:p>
    <w:p w:rsidR="005E37C5" w:rsidRPr="00AE5CD3" w:rsidRDefault="005E37C5"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i/>
          <w:szCs w:val="24"/>
          <w:lang w:eastAsia="pl-PL"/>
        </w:rPr>
      </w:pPr>
      <w:r w:rsidRPr="00AE5CD3">
        <w:rPr>
          <w:rFonts w:asciiTheme="majorHAnsi" w:eastAsia="Times New Roman" w:hAnsiTheme="majorHAnsi"/>
          <w:i/>
          <w:szCs w:val="24"/>
          <w:lang w:eastAsia="pl-PL"/>
        </w:rPr>
        <w:t xml:space="preserve">Трите приключили </w:t>
      </w:r>
      <w:r w:rsidR="00AD2AE7">
        <w:rPr>
          <w:rFonts w:asciiTheme="majorHAnsi" w:eastAsia="Times New Roman" w:hAnsiTheme="majorHAnsi"/>
          <w:i/>
          <w:szCs w:val="24"/>
          <w:lang w:eastAsia="pl-PL"/>
        </w:rPr>
        <w:t>бюджетни</w:t>
      </w:r>
      <w:r w:rsidRPr="00AE5CD3">
        <w:rPr>
          <w:rFonts w:asciiTheme="majorHAnsi" w:eastAsia="Times New Roman" w:hAnsiTheme="majorHAnsi"/>
          <w:i/>
          <w:szCs w:val="24"/>
          <w:lang w:eastAsia="pl-PL"/>
        </w:rPr>
        <w:t xml:space="preserve"> години за Първи прием са – 2015, 2016 и 2017 г.</w:t>
      </w:r>
    </w:p>
    <w:p w:rsidR="005E37C5" w:rsidRPr="00AE5CD3" w:rsidRDefault="005E37C5"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i/>
          <w:szCs w:val="24"/>
          <w:lang w:eastAsia="pl-PL"/>
        </w:rPr>
      </w:pPr>
      <w:r w:rsidRPr="00AE5CD3">
        <w:rPr>
          <w:rFonts w:asciiTheme="majorHAnsi" w:eastAsia="Times New Roman" w:hAnsiTheme="majorHAnsi"/>
          <w:i/>
          <w:szCs w:val="24"/>
          <w:lang w:eastAsia="pl-PL"/>
        </w:rPr>
        <w:t xml:space="preserve">Трите приключили </w:t>
      </w:r>
      <w:r w:rsidR="00AD2AE7">
        <w:rPr>
          <w:rFonts w:asciiTheme="majorHAnsi" w:eastAsia="Times New Roman" w:hAnsiTheme="majorHAnsi"/>
          <w:i/>
          <w:szCs w:val="24"/>
          <w:lang w:eastAsia="pl-PL"/>
        </w:rPr>
        <w:t>бюджетни</w:t>
      </w:r>
      <w:r w:rsidRPr="00AE5CD3">
        <w:rPr>
          <w:rFonts w:asciiTheme="majorHAnsi" w:eastAsia="Times New Roman" w:hAnsiTheme="majorHAnsi"/>
          <w:i/>
          <w:szCs w:val="24"/>
          <w:lang w:eastAsia="pl-PL"/>
        </w:rPr>
        <w:t xml:space="preserve"> години за Втори прием  са. – 2016, 2017 и 2018 г.</w:t>
      </w:r>
    </w:p>
    <w:p w:rsidR="005E37C5" w:rsidRPr="00AE5CD3" w:rsidRDefault="005E37C5"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8"/>
          <w:szCs w:val="24"/>
        </w:rPr>
      </w:pPr>
      <w:r w:rsidRPr="00AE5CD3">
        <w:rPr>
          <w:rFonts w:asciiTheme="majorHAnsi" w:eastAsia="Times New Roman" w:hAnsiTheme="majorHAnsi"/>
          <w:i/>
          <w:szCs w:val="24"/>
          <w:lang w:eastAsia="pl-PL"/>
        </w:rPr>
        <w:t xml:space="preserve">Трите приключили </w:t>
      </w:r>
      <w:r w:rsidR="00AD2AE7">
        <w:rPr>
          <w:rFonts w:asciiTheme="majorHAnsi" w:eastAsia="Times New Roman" w:hAnsiTheme="majorHAnsi"/>
          <w:i/>
          <w:szCs w:val="24"/>
          <w:lang w:eastAsia="pl-PL"/>
        </w:rPr>
        <w:t>бюджетни</w:t>
      </w:r>
      <w:r w:rsidRPr="00AE5CD3">
        <w:rPr>
          <w:rFonts w:asciiTheme="majorHAnsi" w:eastAsia="Times New Roman" w:hAnsiTheme="majorHAnsi"/>
          <w:i/>
          <w:szCs w:val="24"/>
          <w:lang w:eastAsia="pl-PL"/>
        </w:rPr>
        <w:t xml:space="preserve"> години за Трети прием са – 2017, 2018 и 2019 г.</w:t>
      </w:r>
    </w:p>
    <w:p w:rsidR="005E37C5" w:rsidRPr="00AE5CD3" w:rsidRDefault="005E37C5"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color w:val="000000"/>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color w:val="000000"/>
          <w:sz w:val="24"/>
          <w:szCs w:val="24"/>
        </w:rPr>
        <w:t>В случай че посочените документи са оповестени в Търговския регистър</w:t>
      </w:r>
      <w:r w:rsidR="00323344">
        <w:rPr>
          <w:rFonts w:asciiTheme="majorHAnsi" w:hAnsiTheme="majorHAnsi"/>
          <w:color w:val="000000"/>
          <w:sz w:val="24"/>
          <w:szCs w:val="24"/>
        </w:rPr>
        <w:t xml:space="preserve"> и регистъра на ЮЛНЦ</w:t>
      </w:r>
      <w:r w:rsidRPr="00AE5CD3">
        <w:rPr>
          <w:rFonts w:asciiTheme="majorHAnsi" w:hAnsiTheme="majorHAnsi"/>
          <w:color w:val="000000"/>
          <w:sz w:val="24"/>
          <w:szCs w:val="24"/>
        </w:rPr>
        <w:t xml:space="preserve"> към датата на кандидатстване и са в идентичен формат на този, в който са подадени към НСИ, това обстоятелство ще се проверява по служебен път съгласно чл. 23, ал. 6 от Закона за търговския регистър</w:t>
      </w:r>
      <w:r w:rsidR="00AB140C">
        <w:rPr>
          <w:rFonts w:asciiTheme="majorHAnsi" w:hAnsiTheme="majorHAnsi"/>
          <w:color w:val="000000"/>
          <w:sz w:val="24"/>
          <w:szCs w:val="24"/>
        </w:rPr>
        <w:t xml:space="preserve"> </w:t>
      </w:r>
      <w:r w:rsidR="00663279">
        <w:rPr>
          <w:rFonts w:asciiTheme="majorHAnsi" w:hAnsiTheme="majorHAnsi"/>
          <w:color w:val="000000"/>
          <w:sz w:val="24"/>
          <w:szCs w:val="24"/>
        </w:rPr>
        <w:t>и регистъра на ЮЛНЦ</w:t>
      </w:r>
      <w:r w:rsidRPr="00AE5CD3">
        <w:rPr>
          <w:rFonts w:asciiTheme="majorHAnsi" w:hAnsiTheme="majorHAnsi"/>
          <w:color w:val="000000"/>
          <w:sz w:val="24"/>
          <w:szCs w:val="24"/>
        </w:rPr>
        <w:t>.</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1</w:t>
      </w:r>
      <w:r w:rsidR="00DD0779">
        <w:rPr>
          <w:rFonts w:asciiTheme="majorHAnsi" w:hAnsiTheme="majorHAnsi"/>
          <w:b/>
          <w:sz w:val="24"/>
          <w:szCs w:val="24"/>
        </w:rPr>
        <w:t>3</w:t>
      </w:r>
      <w:r w:rsidRPr="00AE5CD3">
        <w:rPr>
          <w:rFonts w:asciiTheme="majorHAnsi" w:hAnsiTheme="majorHAnsi"/>
          <w:b/>
          <w:sz w:val="24"/>
          <w:szCs w:val="24"/>
        </w:rPr>
        <w:t>.</w:t>
      </w:r>
      <w:r w:rsidRPr="00AE5CD3">
        <w:rPr>
          <w:rFonts w:asciiTheme="majorHAnsi" w:hAnsiTheme="majorHAnsi"/>
          <w:sz w:val="24"/>
          <w:szCs w:val="24"/>
        </w:rPr>
        <w:t xml:space="preserve"> Отчет за заетите лица, средствата за работна заплата и други разходи за труд</w:t>
      </w:r>
      <w:r w:rsidRPr="00AE5CD3">
        <w:rPr>
          <w:rFonts w:asciiTheme="majorHAnsi" w:hAnsiTheme="majorHAnsi"/>
          <w:sz w:val="24"/>
          <w:szCs w:val="24"/>
          <w:vertAlign w:val="superscript"/>
        </w:rPr>
        <w:footnoteReference w:id="32"/>
      </w:r>
      <w:r w:rsidRPr="00AE5CD3">
        <w:rPr>
          <w:rFonts w:asciiTheme="majorHAnsi" w:hAnsiTheme="majorHAnsi"/>
          <w:sz w:val="24"/>
          <w:szCs w:val="24"/>
        </w:rPr>
        <w:t xml:space="preserve"> за последните три приключени </w:t>
      </w:r>
      <w:r w:rsidR="00AD2AE7">
        <w:rPr>
          <w:rFonts w:asciiTheme="majorHAnsi" w:hAnsiTheme="majorHAnsi"/>
          <w:sz w:val="24"/>
          <w:szCs w:val="24"/>
        </w:rPr>
        <w:t>бюджетни</w:t>
      </w:r>
      <w:r w:rsidRPr="00AE5CD3">
        <w:rPr>
          <w:rFonts w:asciiTheme="majorHAnsi" w:hAnsiTheme="majorHAnsi"/>
          <w:sz w:val="24"/>
          <w:szCs w:val="24"/>
        </w:rPr>
        <w:t xml:space="preserve"> години – </w:t>
      </w:r>
      <w:r w:rsidRPr="00AE5CD3">
        <w:rPr>
          <w:rFonts w:asciiTheme="majorHAnsi" w:hAnsiTheme="majorHAnsi"/>
          <w:b/>
          <w:sz w:val="24"/>
          <w:szCs w:val="24"/>
        </w:rPr>
        <w:t>прикачена в ИСУН 2020</w:t>
      </w:r>
      <w:r w:rsidRPr="00AE5CD3">
        <w:rPr>
          <w:rFonts w:asciiTheme="majorHAnsi" w:hAnsiTheme="majorHAnsi"/>
          <w:sz w:val="24"/>
          <w:szCs w:val="24"/>
        </w:rPr>
        <w:t>.</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color w:val="000000"/>
          <w:sz w:val="24"/>
          <w:szCs w:val="24"/>
        </w:rPr>
      </w:pPr>
      <w:r w:rsidRPr="00AE5CD3">
        <w:rPr>
          <w:rFonts w:asciiTheme="majorHAnsi" w:hAnsiTheme="majorHAnsi"/>
          <w:color w:val="000000"/>
          <w:sz w:val="24"/>
          <w:szCs w:val="24"/>
        </w:rPr>
        <w:lastRenderedPageBreak/>
        <w:t xml:space="preserve">В случай че посочените документи са оповестени в Търговския </w:t>
      </w:r>
      <w:r w:rsidR="00AB140C">
        <w:rPr>
          <w:rFonts w:asciiTheme="majorHAnsi" w:hAnsiTheme="majorHAnsi"/>
          <w:color w:val="000000"/>
          <w:sz w:val="24"/>
          <w:szCs w:val="24"/>
        </w:rPr>
        <w:t>регистър и регистъра на ЮЛНЦ</w:t>
      </w:r>
      <w:r w:rsidRPr="00AE5CD3">
        <w:rPr>
          <w:rFonts w:asciiTheme="majorHAnsi" w:hAnsiTheme="majorHAnsi"/>
          <w:color w:val="000000"/>
          <w:sz w:val="24"/>
          <w:szCs w:val="24"/>
        </w:rPr>
        <w:t xml:space="preserve"> към датата на кандидатстване и са в идентичен формат на този, в който са подадени към НСИ, това обстоятелство ще се проверява по служебен път съгласно чл. 23, ал. 6 от Закона за търговския </w:t>
      </w:r>
      <w:r w:rsidR="00AB140C">
        <w:rPr>
          <w:rFonts w:asciiTheme="majorHAnsi" w:hAnsiTheme="majorHAnsi"/>
          <w:color w:val="000000"/>
          <w:sz w:val="24"/>
          <w:szCs w:val="24"/>
        </w:rPr>
        <w:t>регистър и регистъра на ЮЛНЦ</w:t>
      </w:r>
      <w:r w:rsidRPr="00AE5CD3">
        <w:rPr>
          <w:rFonts w:asciiTheme="majorHAnsi" w:hAnsiTheme="majorHAnsi"/>
          <w:color w:val="000000"/>
          <w:sz w:val="24"/>
          <w:szCs w:val="24"/>
        </w:rPr>
        <w:t>.</w:t>
      </w:r>
    </w:p>
    <w:p w:rsidR="005E37C5" w:rsidRPr="00AE5CD3" w:rsidRDefault="005E37C5"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i/>
          <w:szCs w:val="24"/>
          <w:lang w:eastAsia="pl-PL"/>
        </w:rPr>
      </w:pPr>
      <w:r w:rsidRPr="00AE5CD3">
        <w:rPr>
          <w:rFonts w:asciiTheme="majorHAnsi" w:eastAsia="Times New Roman" w:hAnsiTheme="majorHAnsi"/>
          <w:i/>
          <w:szCs w:val="24"/>
          <w:lang w:eastAsia="pl-PL"/>
        </w:rPr>
        <w:t xml:space="preserve">Трите приключили </w:t>
      </w:r>
      <w:r w:rsidR="00AD2AE7">
        <w:rPr>
          <w:rFonts w:asciiTheme="majorHAnsi" w:eastAsia="Times New Roman" w:hAnsiTheme="majorHAnsi"/>
          <w:i/>
          <w:szCs w:val="24"/>
          <w:lang w:eastAsia="pl-PL"/>
        </w:rPr>
        <w:t>бюджетни</w:t>
      </w:r>
      <w:r w:rsidRPr="00AE5CD3">
        <w:rPr>
          <w:rFonts w:asciiTheme="majorHAnsi" w:eastAsia="Times New Roman" w:hAnsiTheme="majorHAnsi"/>
          <w:i/>
          <w:szCs w:val="24"/>
          <w:lang w:eastAsia="pl-PL"/>
        </w:rPr>
        <w:t xml:space="preserve"> години за Първи прием са – 2015, 2016 и 2017 г.</w:t>
      </w:r>
    </w:p>
    <w:p w:rsidR="005E37C5" w:rsidRPr="00AE5CD3" w:rsidRDefault="005E37C5"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i/>
          <w:szCs w:val="24"/>
          <w:lang w:eastAsia="pl-PL"/>
        </w:rPr>
      </w:pPr>
      <w:r w:rsidRPr="00AE5CD3">
        <w:rPr>
          <w:rFonts w:asciiTheme="majorHAnsi" w:eastAsia="Times New Roman" w:hAnsiTheme="majorHAnsi"/>
          <w:i/>
          <w:szCs w:val="24"/>
          <w:lang w:eastAsia="pl-PL"/>
        </w:rPr>
        <w:t xml:space="preserve">Трите приключили </w:t>
      </w:r>
      <w:r w:rsidR="00AD2AE7">
        <w:rPr>
          <w:rFonts w:asciiTheme="majorHAnsi" w:eastAsia="Times New Roman" w:hAnsiTheme="majorHAnsi"/>
          <w:i/>
          <w:szCs w:val="24"/>
          <w:lang w:eastAsia="pl-PL"/>
        </w:rPr>
        <w:t>бюджетни</w:t>
      </w:r>
      <w:r w:rsidRPr="00AE5CD3">
        <w:rPr>
          <w:rFonts w:asciiTheme="majorHAnsi" w:eastAsia="Times New Roman" w:hAnsiTheme="majorHAnsi"/>
          <w:i/>
          <w:szCs w:val="24"/>
          <w:lang w:eastAsia="pl-PL"/>
        </w:rPr>
        <w:t xml:space="preserve"> години за Втори прием  са – 2016, 2017 и 2018 г.</w:t>
      </w:r>
    </w:p>
    <w:p w:rsidR="005E37C5" w:rsidRPr="00AE5CD3" w:rsidRDefault="005E37C5"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8"/>
          <w:szCs w:val="24"/>
        </w:rPr>
      </w:pPr>
      <w:r w:rsidRPr="00AE5CD3">
        <w:rPr>
          <w:rFonts w:asciiTheme="majorHAnsi" w:eastAsia="Times New Roman" w:hAnsiTheme="majorHAnsi"/>
          <w:i/>
          <w:szCs w:val="24"/>
          <w:lang w:eastAsia="pl-PL"/>
        </w:rPr>
        <w:t xml:space="preserve">Трите приключили </w:t>
      </w:r>
      <w:r w:rsidR="00AD2AE7">
        <w:rPr>
          <w:rFonts w:asciiTheme="majorHAnsi" w:eastAsia="Times New Roman" w:hAnsiTheme="majorHAnsi"/>
          <w:i/>
          <w:szCs w:val="24"/>
          <w:lang w:eastAsia="pl-PL"/>
        </w:rPr>
        <w:t>бюджетни</w:t>
      </w:r>
      <w:r w:rsidRPr="00AE5CD3">
        <w:rPr>
          <w:rFonts w:asciiTheme="majorHAnsi" w:eastAsia="Times New Roman" w:hAnsiTheme="majorHAnsi"/>
          <w:i/>
          <w:szCs w:val="24"/>
          <w:lang w:eastAsia="pl-PL"/>
        </w:rPr>
        <w:t xml:space="preserve"> години за Трети прием са – 2017, 2018 и 2019 г.</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1</w:t>
      </w:r>
      <w:r w:rsidR="00DD0779">
        <w:rPr>
          <w:rFonts w:asciiTheme="majorHAnsi" w:hAnsiTheme="majorHAnsi"/>
          <w:b/>
          <w:sz w:val="24"/>
          <w:szCs w:val="24"/>
        </w:rPr>
        <w:t>4</w:t>
      </w:r>
      <w:r w:rsidRPr="00AE5CD3">
        <w:rPr>
          <w:rFonts w:asciiTheme="majorHAnsi" w:hAnsiTheme="majorHAnsi"/>
          <w:b/>
          <w:sz w:val="24"/>
          <w:szCs w:val="24"/>
        </w:rPr>
        <w:t>.</w:t>
      </w:r>
      <w:r w:rsidRPr="00AE5CD3">
        <w:rPr>
          <w:rFonts w:asciiTheme="majorHAnsi" w:hAnsiTheme="majorHAnsi"/>
          <w:sz w:val="24"/>
          <w:szCs w:val="24"/>
        </w:rPr>
        <w:t xml:space="preserve"> Справка за нетекущите (дълготрайните) активи за последните три приключени </w:t>
      </w:r>
      <w:r w:rsidR="00AD2AE7">
        <w:rPr>
          <w:rFonts w:asciiTheme="majorHAnsi" w:hAnsiTheme="majorHAnsi"/>
          <w:sz w:val="24"/>
          <w:szCs w:val="24"/>
        </w:rPr>
        <w:t>бюджетни</w:t>
      </w:r>
      <w:r w:rsidRPr="00AE5CD3">
        <w:rPr>
          <w:rFonts w:asciiTheme="majorHAnsi" w:hAnsiTheme="majorHAnsi"/>
          <w:sz w:val="24"/>
          <w:szCs w:val="24"/>
        </w:rPr>
        <w:t xml:space="preserve"> години</w:t>
      </w:r>
      <w:r w:rsidRPr="00AE5CD3">
        <w:rPr>
          <w:rFonts w:asciiTheme="majorHAnsi" w:hAnsiTheme="majorHAnsi"/>
          <w:sz w:val="24"/>
          <w:szCs w:val="24"/>
          <w:vertAlign w:val="superscript"/>
        </w:rPr>
        <w:footnoteReference w:id="33"/>
      </w:r>
      <w:r w:rsidRPr="00AE5CD3">
        <w:rPr>
          <w:rFonts w:asciiTheme="majorHAnsi" w:hAnsiTheme="majorHAnsi"/>
          <w:sz w:val="24"/>
          <w:szCs w:val="24"/>
        </w:rPr>
        <w:t xml:space="preserve"> - </w:t>
      </w:r>
      <w:r w:rsidRPr="00AE5CD3">
        <w:rPr>
          <w:rFonts w:asciiTheme="majorHAnsi" w:hAnsiTheme="majorHAnsi"/>
          <w:b/>
          <w:sz w:val="24"/>
          <w:szCs w:val="24"/>
        </w:rPr>
        <w:t>прикачена в ИСУН 2020</w:t>
      </w:r>
      <w:r w:rsidRPr="00AE5CD3">
        <w:rPr>
          <w:rFonts w:asciiTheme="majorHAnsi" w:hAnsiTheme="majorHAnsi"/>
          <w:sz w:val="24"/>
          <w:szCs w:val="24"/>
        </w:rPr>
        <w:t>.</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В случай че посочените документи са оповестени в Търговския регистър</w:t>
      </w:r>
      <w:r w:rsidR="004B6D4E">
        <w:rPr>
          <w:rFonts w:asciiTheme="majorHAnsi" w:hAnsiTheme="majorHAnsi"/>
          <w:sz w:val="24"/>
          <w:szCs w:val="24"/>
        </w:rPr>
        <w:t xml:space="preserve"> и регистъра на ЮЛНЦ</w:t>
      </w:r>
      <w:r w:rsidRPr="00AE5CD3">
        <w:rPr>
          <w:rFonts w:asciiTheme="majorHAnsi" w:hAnsiTheme="majorHAnsi"/>
          <w:sz w:val="24"/>
          <w:szCs w:val="24"/>
        </w:rPr>
        <w:t xml:space="preserve"> към датата на кандидатстване и са в идентичен формат на този, в който са подадени към НСИ, това обстоятелство ще се проверява по служебен път съгласно чл. 23, ал. 6 от Закона за търговския </w:t>
      </w:r>
      <w:r w:rsidR="00AB140C">
        <w:rPr>
          <w:rFonts w:asciiTheme="majorHAnsi" w:hAnsiTheme="majorHAnsi"/>
          <w:sz w:val="24"/>
          <w:szCs w:val="24"/>
        </w:rPr>
        <w:t>регистър и регистъра на ЮЛНЦ</w:t>
      </w:r>
      <w:r w:rsidRPr="00AE5CD3">
        <w:rPr>
          <w:rFonts w:asciiTheme="majorHAnsi" w:hAnsiTheme="majorHAnsi"/>
          <w:sz w:val="24"/>
          <w:szCs w:val="24"/>
        </w:rPr>
        <w:t>.</w:t>
      </w:r>
    </w:p>
    <w:p w:rsidR="005E37C5" w:rsidRPr="00AE5CD3" w:rsidRDefault="005E37C5"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i/>
          <w:szCs w:val="24"/>
          <w:lang w:eastAsia="pl-PL"/>
        </w:rPr>
      </w:pPr>
      <w:r w:rsidRPr="00AE5CD3">
        <w:rPr>
          <w:rFonts w:asciiTheme="majorHAnsi" w:eastAsia="Times New Roman" w:hAnsiTheme="majorHAnsi"/>
          <w:i/>
          <w:szCs w:val="24"/>
          <w:lang w:eastAsia="pl-PL"/>
        </w:rPr>
        <w:t xml:space="preserve">Трите приключили </w:t>
      </w:r>
      <w:r w:rsidR="00AD2AE7">
        <w:rPr>
          <w:rFonts w:asciiTheme="majorHAnsi" w:eastAsia="Times New Roman" w:hAnsiTheme="majorHAnsi"/>
          <w:i/>
          <w:szCs w:val="24"/>
          <w:lang w:eastAsia="pl-PL"/>
        </w:rPr>
        <w:t>бюджетни</w:t>
      </w:r>
      <w:r w:rsidRPr="00AE5CD3">
        <w:rPr>
          <w:rFonts w:asciiTheme="majorHAnsi" w:eastAsia="Times New Roman" w:hAnsiTheme="majorHAnsi"/>
          <w:i/>
          <w:szCs w:val="24"/>
          <w:lang w:eastAsia="pl-PL"/>
        </w:rPr>
        <w:t xml:space="preserve"> години за Първи прием са – 2015, 2016 и 2017 г.</w:t>
      </w:r>
    </w:p>
    <w:p w:rsidR="005E37C5" w:rsidRPr="00AE5CD3" w:rsidRDefault="005E37C5"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i/>
          <w:szCs w:val="24"/>
          <w:lang w:eastAsia="pl-PL"/>
        </w:rPr>
      </w:pPr>
      <w:r w:rsidRPr="00AE5CD3">
        <w:rPr>
          <w:rFonts w:asciiTheme="majorHAnsi" w:eastAsia="Times New Roman" w:hAnsiTheme="majorHAnsi"/>
          <w:i/>
          <w:szCs w:val="24"/>
          <w:lang w:eastAsia="pl-PL"/>
        </w:rPr>
        <w:t xml:space="preserve">Трите приключили </w:t>
      </w:r>
      <w:r w:rsidR="00AD2AE7">
        <w:rPr>
          <w:rFonts w:asciiTheme="majorHAnsi" w:eastAsia="Times New Roman" w:hAnsiTheme="majorHAnsi"/>
          <w:i/>
          <w:szCs w:val="24"/>
          <w:lang w:eastAsia="pl-PL"/>
        </w:rPr>
        <w:t>бюджетни</w:t>
      </w:r>
      <w:r w:rsidRPr="00AE5CD3">
        <w:rPr>
          <w:rFonts w:asciiTheme="majorHAnsi" w:eastAsia="Times New Roman" w:hAnsiTheme="majorHAnsi"/>
          <w:i/>
          <w:szCs w:val="24"/>
          <w:lang w:eastAsia="pl-PL"/>
        </w:rPr>
        <w:t xml:space="preserve"> години за Втори прием </w:t>
      </w:r>
      <w:r w:rsidR="00995E96" w:rsidRPr="00AE5CD3">
        <w:rPr>
          <w:rFonts w:asciiTheme="majorHAnsi" w:eastAsia="Times New Roman" w:hAnsiTheme="majorHAnsi"/>
          <w:i/>
          <w:szCs w:val="24"/>
          <w:lang w:eastAsia="pl-PL"/>
        </w:rPr>
        <w:t xml:space="preserve"> с</w:t>
      </w:r>
      <w:r w:rsidRPr="00AE5CD3">
        <w:rPr>
          <w:rFonts w:asciiTheme="majorHAnsi" w:eastAsia="Times New Roman" w:hAnsiTheme="majorHAnsi"/>
          <w:i/>
          <w:szCs w:val="24"/>
          <w:lang w:eastAsia="pl-PL"/>
        </w:rPr>
        <w:t>. – 2016, 2017 и 2018 г.</w:t>
      </w:r>
    </w:p>
    <w:p w:rsidR="005E37C5" w:rsidRPr="00AE5CD3" w:rsidRDefault="005E37C5"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8"/>
          <w:szCs w:val="24"/>
        </w:rPr>
      </w:pPr>
      <w:r w:rsidRPr="00AE5CD3">
        <w:rPr>
          <w:rFonts w:asciiTheme="majorHAnsi" w:eastAsia="Times New Roman" w:hAnsiTheme="majorHAnsi"/>
          <w:i/>
          <w:szCs w:val="24"/>
          <w:lang w:eastAsia="pl-PL"/>
        </w:rPr>
        <w:t xml:space="preserve">Трите приключили </w:t>
      </w:r>
      <w:r w:rsidR="00AD2AE7">
        <w:rPr>
          <w:rFonts w:asciiTheme="majorHAnsi" w:eastAsia="Times New Roman" w:hAnsiTheme="majorHAnsi"/>
          <w:i/>
          <w:szCs w:val="24"/>
          <w:lang w:eastAsia="pl-PL"/>
        </w:rPr>
        <w:t>бюджетни</w:t>
      </w:r>
      <w:r w:rsidRPr="00AE5CD3">
        <w:rPr>
          <w:rFonts w:asciiTheme="majorHAnsi" w:eastAsia="Times New Roman" w:hAnsiTheme="majorHAnsi"/>
          <w:i/>
          <w:szCs w:val="24"/>
          <w:lang w:eastAsia="pl-PL"/>
        </w:rPr>
        <w:t xml:space="preserve"> години за Трети прием са – 2017, 2018 и 2019 г.</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b/>
          <w:sz w:val="24"/>
          <w:szCs w:val="24"/>
        </w:rPr>
        <w:t xml:space="preserve">ВАЖНО: </w:t>
      </w:r>
      <w:r w:rsidRPr="00AE5CD3">
        <w:rPr>
          <w:rFonts w:asciiTheme="majorHAnsi" w:hAnsiTheme="majorHAnsi"/>
          <w:sz w:val="24"/>
          <w:szCs w:val="24"/>
        </w:rPr>
        <w:t>Документите по точки 11, 12, 13</w:t>
      </w:r>
      <w:r w:rsidR="00DD0779">
        <w:rPr>
          <w:rFonts w:asciiTheme="majorHAnsi" w:hAnsiTheme="majorHAnsi"/>
          <w:sz w:val="24"/>
          <w:szCs w:val="24"/>
        </w:rPr>
        <w:t xml:space="preserve"> и </w:t>
      </w:r>
      <w:r w:rsidRPr="00AE5CD3">
        <w:rPr>
          <w:rFonts w:asciiTheme="majorHAnsi" w:hAnsiTheme="majorHAnsi"/>
          <w:sz w:val="24"/>
          <w:szCs w:val="24"/>
        </w:rPr>
        <w:t xml:space="preserve">14 следва да бъдат </w:t>
      </w:r>
      <w:r w:rsidR="001B5E1E" w:rsidRPr="00AE5CD3">
        <w:rPr>
          <w:rFonts w:asciiTheme="majorHAnsi" w:hAnsiTheme="majorHAnsi"/>
          <w:sz w:val="24"/>
          <w:szCs w:val="24"/>
        </w:rPr>
        <w:t>представени във</w:t>
      </w:r>
      <w:r w:rsidRPr="00AE5CD3">
        <w:rPr>
          <w:rFonts w:asciiTheme="majorHAnsi" w:hAnsiTheme="majorHAnsi"/>
          <w:sz w:val="24"/>
          <w:szCs w:val="24"/>
        </w:rPr>
        <w:t xml:space="preserve"> формат</w:t>
      </w:r>
      <w:r w:rsidR="00A223DD">
        <w:rPr>
          <w:rFonts w:asciiTheme="majorHAnsi" w:hAnsiTheme="majorHAnsi"/>
          <w:sz w:val="24"/>
          <w:szCs w:val="24"/>
        </w:rPr>
        <w:t>,</w:t>
      </w:r>
      <w:r w:rsidRPr="00AE5CD3">
        <w:rPr>
          <w:rFonts w:asciiTheme="majorHAnsi" w:hAnsiTheme="majorHAnsi"/>
          <w:sz w:val="24"/>
          <w:szCs w:val="24"/>
        </w:rPr>
        <w:t xml:space="preserve"> </w:t>
      </w:r>
      <w:r w:rsidRPr="00AE5CD3">
        <w:rPr>
          <w:rFonts w:asciiTheme="majorHAnsi" w:hAnsiTheme="majorHAnsi"/>
          <w:b/>
          <w:sz w:val="24"/>
          <w:szCs w:val="24"/>
        </w:rPr>
        <w:t>идентичен</w:t>
      </w:r>
      <w:r w:rsidRPr="00AE5CD3">
        <w:rPr>
          <w:rFonts w:asciiTheme="majorHAnsi" w:hAnsiTheme="majorHAnsi"/>
          <w:sz w:val="24"/>
          <w:szCs w:val="24"/>
        </w:rPr>
        <w:t xml:space="preserve"> на този, в който са подадени към Националния статистически институт, като част от Годишния отчет за дейността на предприятието.</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eastAsia="Times New Roman" w:hAnsiTheme="majorHAnsi"/>
          <w:b/>
          <w:sz w:val="24"/>
          <w:szCs w:val="24"/>
          <w:lang w:eastAsia="bg-BG"/>
        </w:rPr>
        <w:t>1</w:t>
      </w:r>
      <w:r w:rsidR="00DD0779">
        <w:rPr>
          <w:rFonts w:asciiTheme="majorHAnsi" w:eastAsia="Times New Roman" w:hAnsiTheme="majorHAnsi"/>
          <w:b/>
          <w:sz w:val="24"/>
          <w:szCs w:val="24"/>
          <w:lang w:eastAsia="bg-BG"/>
        </w:rPr>
        <w:t>5</w:t>
      </w:r>
      <w:r w:rsidRPr="00AE5CD3">
        <w:rPr>
          <w:rFonts w:asciiTheme="majorHAnsi" w:eastAsia="Times New Roman" w:hAnsiTheme="majorHAnsi"/>
          <w:b/>
          <w:sz w:val="24"/>
          <w:szCs w:val="24"/>
          <w:lang w:eastAsia="bg-BG"/>
        </w:rPr>
        <w:t>.</w:t>
      </w:r>
      <w:r w:rsidR="00E0252D">
        <w:rPr>
          <w:rFonts w:asciiTheme="majorHAnsi" w:eastAsia="Times New Roman" w:hAnsiTheme="majorHAnsi"/>
          <w:b/>
          <w:sz w:val="24"/>
          <w:szCs w:val="24"/>
          <w:lang w:eastAsia="bg-BG"/>
        </w:rPr>
        <w:t xml:space="preserve"> </w:t>
      </w:r>
      <w:r w:rsidRPr="00AE5CD3">
        <w:rPr>
          <w:rFonts w:asciiTheme="majorHAnsi" w:eastAsia="Times New Roman" w:hAnsiTheme="majorHAnsi"/>
          <w:sz w:val="24"/>
          <w:szCs w:val="24"/>
          <w:lang w:eastAsia="bg-BG"/>
        </w:rPr>
        <w:t>Сертификат за вече приложения стандарт за управление, който е обект на ре-сертификация, който не е изтекъл към датата на подаване на проектното предложение (приложимо, в случай че по проектното предложение са включени дейности за ре-сертификация) прикачен в ИСУН 2020.</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b/>
          <w:sz w:val="24"/>
          <w:szCs w:val="24"/>
        </w:rPr>
      </w:pPr>
      <w:r w:rsidRPr="00AE5CD3">
        <w:rPr>
          <w:rFonts w:asciiTheme="majorHAnsi" w:hAnsiTheme="majorHAnsi"/>
          <w:b/>
          <w:sz w:val="24"/>
          <w:szCs w:val="24"/>
        </w:rPr>
        <w:t>1</w:t>
      </w:r>
      <w:r w:rsidR="00DD0779">
        <w:rPr>
          <w:rFonts w:asciiTheme="majorHAnsi" w:hAnsiTheme="majorHAnsi"/>
          <w:b/>
          <w:sz w:val="24"/>
          <w:szCs w:val="24"/>
        </w:rPr>
        <w:t>6</w:t>
      </w:r>
      <w:r w:rsidRPr="00AE5CD3">
        <w:rPr>
          <w:rFonts w:asciiTheme="majorHAnsi" w:hAnsiTheme="majorHAnsi"/>
          <w:sz w:val="24"/>
          <w:szCs w:val="24"/>
        </w:rPr>
        <w:t xml:space="preserve">. В случаите когато кандидатът е заявил въведени международно признати стандарти, и/или СЕ маркировка, и/или съответствие на продуктите, и/или добри производствени практики, и/или специализирани софтуерни системи за управление (съгласно т. 11 от Формуляра за кандидатстване), той следва да представи поне един от следните документи </w:t>
      </w:r>
      <w:r w:rsidRPr="00AE5CD3">
        <w:rPr>
          <w:rFonts w:asciiTheme="majorHAnsi" w:hAnsiTheme="majorHAnsi"/>
          <w:sz w:val="24"/>
          <w:szCs w:val="24"/>
          <w:vertAlign w:val="superscript"/>
        </w:rPr>
        <w:footnoteReference w:id="34"/>
      </w:r>
      <w:r w:rsidRPr="00AE5CD3">
        <w:rPr>
          <w:rFonts w:asciiTheme="majorHAnsi" w:hAnsiTheme="majorHAnsi"/>
          <w:sz w:val="24"/>
          <w:szCs w:val="24"/>
        </w:rPr>
        <w:t xml:space="preserve"> - </w:t>
      </w:r>
      <w:r w:rsidRPr="00AE5CD3">
        <w:rPr>
          <w:rFonts w:asciiTheme="majorHAnsi" w:hAnsiTheme="majorHAnsi"/>
          <w:b/>
          <w:sz w:val="24"/>
          <w:szCs w:val="24"/>
        </w:rPr>
        <w:t>прикачен/и в ИСУН 2020.</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сертификат, който е валиден към датата на кандидатстване - когато кандидатът е заявил наличие на въведени стандарти за качество, други международно признати стандарти или системи за управление;</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декларация или сертификат за съответствие или протоколи от изпитване на произведени продукти, за които е въведена CE маркировката - когато кандидатът е заявил въведени СЕ маркировки;</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lastRenderedPageBreak/>
        <w:t>- документи, издадени съгласно нормативната уредба, поставяща изискванията по отношение на добри производствени практики в областите, в които те се прилагат, а именно: хранително-вкусова промишленост (вкл. производство на опаковки влизащи в контакт с храни), фармация, козметична промишленост и производството на ветеринарно-медицински продукти - когато кандидатът е заявил наличие на въведени добри производствени практики;</w:t>
      </w:r>
    </w:p>
    <w:p w:rsidR="005A1B22" w:rsidRPr="00E0252D"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 лицензионни договори предоставящи конкретни права на кандидата по отношение на съответната специализирана софтуерна система и/или договор с доставчика/производителя на конкретната система за нейното въвеждане, чието успешно изпълнение е удостоверено с приложен към договора приемо-предавателен протокол и/или ръководство отнасящо се до въвеждането на специализираната софтуерна система при конкретния кандидат – когато кандидатът е заявил въведени </w:t>
      </w:r>
      <w:r w:rsidRPr="00E0252D">
        <w:rPr>
          <w:rFonts w:asciiTheme="majorHAnsi" w:hAnsiTheme="majorHAnsi"/>
          <w:sz w:val="24"/>
          <w:szCs w:val="24"/>
        </w:rPr>
        <w:t>специализирани софтуерни системи за управление.</w:t>
      </w:r>
    </w:p>
    <w:p w:rsidR="005A1B22" w:rsidRPr="00E0252D"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071916" w:rsidRPr="00E0252D" w:rsidRDefault="00071916"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E0252D">
        <w:rPr>
          <w:rFonts w:asciiTheme="majorHAnsi" w:hAnsiTheme="majorHAnsi"/>
          <w:b/>
          <w:color w:val="000000" w:themeColor="text1"/>
          <w:sz w:val="24"/>
          <w:szCs w:val="24"/>
        </w:rPr>
        <w:t>ВАЖНО:</w:t>
      </w:r>
      <w:r w:rsidR="00A223DD">
        <w:rPr>
          <w:rFonts w:asciiTheme="majorHAnsi" w:hAnsiTheme="majorHAnsi"/>
          <w:b/>
          <w:color w:val="000000" w:themeColor="text1"/>
          <w:sz w:val="24"/>
          <w:szCs w:val="24"/>
        </w:rPr>
        <w:t xml:space="preserve"> </w:t>
      </w:r>
      <w:r w:rsidRPr="00E0252D">
        <w:rPr>
          <w:rFonts w:asciiTheme="majorHAnsi" w:hAnsiTheme="majorHAnsi"/>
          <w:color w:val="000000" w:themeColor="text1"/>
          <w:sz w:val="24"/>
          <w:szCs w:val="24"/>
        </w:rPr>
        <w:t xml:space="preserve">За да се считат за валидни посочените в т. 15 и 16 сертификати </w:t>
      </w:r>
      <w:bookmarkStart w:id="143" w:name="_GoBack"/>
      <w:bookmarkEnd w:id="143"/>
      <w:r w:rsidRPr="00E0252D">
        <w:rPr>
          <w:rFonts w:asciiTheme="majorHAnsi" w:hAnsiTheme="majorHAnsi"/>
          <w:color w:val="000000" w:themeColor="text1"/>
          <w:sz w:val="24"/>
          <w:szCs w:val="24"/>
        </w:rPr>
        <w:t xml:space="preserve">трябва да са издадени от независими лица, които са акредитирани от Изпълнителна агенция "Българска служба за акредитация" или </w:t>
      </w:r>
      <w:r w:rsidR="00C43009" w:rsidRPr="00E0252D">
        <w:rPr>
          <w:rFonts w:asciiTheme="majorHAnsi" w:hAnsiTheme="majorHAnsi"/>
          <w:color w:val="000000" w:themeColor="text1"/>
          <w:sz w:val="24"/>
          <w:szCs w:val="24"/>
        </w:rPr>
        <w:t>издадени в съответствие с разпоредбите на</w:t>
      </w:r>
      <w:r w:rsidRPr="00E0252D">
        <w:rPr>
          <w:rFonts w:asciiTheme="majorHAnsi" w:hAnsiTheme="majorHAnsi"/>
          <w:color w:val="000000" w:themeColor="text1"/>
          <w:sz w:val="24"/>
          <w:szCs w:val="24"/>
        </w:rPr>
        <w:t xml:space="preserve"> чл. 5а, ал. 2 от Закона за националната акредитация на органи за оценяване на съответствието. </w:t>
      </w:r>
    </w:p>
    <w:p w:rsidR="005A1B22" w:rsidRPr="00E0252D"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E0252D">
        <w:rPr>
          <w:rFonts w:asciiTheme="majorHAnsi" w:hAnsiTheme="majorHAnsi"/>
          <w:sz w:val="24"/>
          <w:szCs w:val="24"/>
        </w:rPr>
        <w:t>Общите ръководства описващи какво представлява компютъризираната система и какви са нейните функционални възможности не следва да се считат за документ, удостоверяващ наличието на въведена такава система при конкретния кандидат.</w:t>
      </w:r>
    </w:p>
    <w:p w:rsidR="005A1B22" w:rsidRPr="00E0252D"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eastAsia="Times New Roman" w:hAnsiTheme="majorHAnsi"/>
          <w:sz w:val="24"/>
        </w:rPr>
      </w:pPr>
      <w:r w:rsidRPr="00E0252D">
        <w:rPr>
          <w:rFonts w:asciiTheme="majorHAnsi" w:eastAsia="Times New Roman" w:hAnsiTheme="majorHAnsi"/>
          <w:sz w:val="24"/>
          <w:szCs w:val="24"/>
        </w:rPr>
        <w:t>Кандидатите следва да се уверят, че всички документи са представени в изискуемата форма /всички декларации са попълнени по образец и</w:t>
      </w:r>
      <w:r w:rsidRPr="00AE5CD3">
        <w:rPr>
          <w:rFonts w:asciiTheme="majorHAnsi" w:eastAsia="Times New Roman" w:hAnsiTheme="majorHAnsi"/>
          <w:sz w:val="24"/>
        </w:rPr>
        <w:t xml:space="preserve"> са подписани  от съответния брой лица, който се изисква съгласно Условията за кандидатстване.</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r w:rsidRPr="00AE5CD3">
        <w:rPr>
          <w:rFonts w:asciiTheme="majorHAnsi" w:eastAsia="Times New Roman" w:hAnsiTheme="majorHAnsi"/>
          <w:sz w:val="24"/>
        </w:rPr>
        <w:t xml:space="preserve">В случай че при проверката на документите бъде установена липса на документи и/или друга нередовност, Комисията за подбор изпраща до кандидатите уведомление за установените нередовности. Кандидатите следва да представят липсващите документи/отстранят нередовностите в срок, посочен от Комисията за подбор, но не по-малко от една седмица от датата на получаване на уведомлението, като денят на получаването му не се брои. Уведомленията за установени нередовности се изпращат през ИСУН 2020 чрез електронния профил на кандидата, като кандидатът ще бъде известяван за посоченото електронно уведомление чрез електронния адрес, асоцииран към неговия профил. За дата на получаване на искането за документи/информация се счита датата на изпращането му чрез ИСУН 2020. Неотстраняването на нередовностите в срок </w:t>
      </w:r>
      <w:r w:rsidRPr="00AE5CD3">
        <w:rPr>
          <w:rFonts w:asciiTheme="majorHAnsi" w:eastAsia="Times New Roman" w:hAnsiTheme="majorHAnsi"/>
          <w:sz w:val="24"/>
          <w:u w:val="single"/>
        </w:rPr>
        <w:t>може</w:t>
      </w:r>
      <w:r w:rsidRPr="00AE5CD3">
        <w:rPr>
          <w:rFonts w:asciiTheme="majorHAnsi" w:eastAsia="Times New Roman" w:hAnsiTheme="majorHAnsi"/>
          <w:sz w:val="24"/>
        </w:rPr>
        <w:t xml:space="preserve"> да доведе до: прекратяване на производството по отношение на кандидата; и/или получаване на по-малък брой точки от проектното предложение; и/или редуциране на разходи в бюджета на проекта.</w:t>
      </w:r>
    </w:p>
    <w:p w:rsidR="005A1B22" w:rsidRPr="00AE5CD3" w:rsidRDefault="005A1B22" w:rsidP="00E0252D">
      <w:pPr>
        <w:pStyle w:val="aa"/>
        <w:pBdr>
          <w:top w:val="single" w:sz="4" w:space="1" w:color="auto"/>
          <w:left w:val="single" w:sz="4" w:space="1" w:color="auto"/>
          <w:bottom w:val="single" w:sz="4" w:space="1" w:color="auto"/>
          <w:right w:val="single" w:sz="4" w:space="1" w:color="auto"/>
        </w:pBdr>
        <w:spacing w:after="360" w:line="240" w:lineRule="auto"/>
        <w:ind w:left="0"/>
        <w:jc w:val="both"/>
        <w:rPr>
          <w:rFonts w:asciiTheme="majorHAnsi" w:hAnsiTheme="majorHAnsi"/>
          <w:sz w:val="24"/>
          <w:szCs w:val="24"/>
        </w:rPr>
      </w:pPr>
    </w:p>
    <w:p w:rsidR="005A1B22" w:rsidRDefault="005A1B22" w:rsidP="00E0252D">
      <w:pPr>
        <w:pStyle w:val="aa"/>
        <w:pBdr>
          <w:top w:val="single" w:sz="4" w:space="1" w:color="auto"/>
          <w:left w:val="single" w:sz="4" w:space="1" w:color="auto"/>
          <w:bottom w:val="single" w:sz="4" w:space="1" w:color="auto"/>
          <w:right w:val="single" w:sz="4" w:space="1" w:color="auto"/>
        </w:pBdr>
        <w:spacing w:after="0" w:line="240" w:lineRule="auto"/>
        <w:ind w:left="0"/>
        <w:jc w:val="both"/>
        <w:rPr>
          <w:rFonts w:asciiTheme="majorHAnsi" w:eastAsia="Times New Roman" w:hAnsiTheme="majorHAnsi"/>
          <w:sz w:val="24"/>
        </w:rPr>
      </w:pPr>
      <w:r w:rsidRPr="00AE5CD3">
        <w:rPr>
          <w:rFonts w:asciiTheme="majorHAnsi" w:eastAsia="Times New Roman" w:hAnsiTheme="majorHAnsi"/>
          <w:b/>
          <w:sz w:val="24"/>
        </w:rPr>
        <w:t xml:space="preserve">ВАЖНО: </w:t>
      </w:r>
      <w:r w:rsidRPr="00AE5CD3">
        <w:rPr>
          <w:rFonts w:asciiTheme="majorHAnsi" w:eastAsia="Times New Roman" w:hAnsiTheme="majorHAnsi"/>
          <w:sz w:val="24"/>
        </w:rPr>
        <w:t>Отстраняването на нередовностите в никакъв случай и при никакви</w:t>
      </w:r>
      <w:r w:rsidR="001B5E1E" w:rsidRPr="001B5E1E">
        <w:rPr>
          <w:rFonts w:asciiTheme="majorHAnsi" w:eastAsia="Times New Roman" w:hAnsiTheme="majorHAnsi"/>
          <w:sz w:val="24"/>
          <w:lang w:val="ru-RU"/>
        </w:rPr>
        <w:t xml:space="preserve"> </w:t>
      </w:r>
      <w:r w:rsidRPr="00AE5CD3">
        <w:rPr>
          <w:rFonts w:asciiTheme="majorHAnsi" w:eastAsia="Times New Roman" w:hAnsiTheme="majorHAnsi"/>
          <w:sz w:val="24"/>
        </w:rPr>
        <w:t xml:space="preserve">обстоятелства </w:t>
      </w:r>
      <w:r w:rsidRPr="00AE5CD3">
        <w:rPr>
          <w:rFonts w:asciiTheme="majorHAnsi" w:eastAsia="Times New Roman" w:hAnsiTheme="majorHAnsi"/>
          <w:sz w:val="24"/>
          <w:u w:val="single"/>
        </w:rPr>
        <w:t>не може</w:t>
      </w:r>
      <w:r w:rsidRPr="00AE5CD3">
        <w:rPr>
          <w:rFonts w:asciiTheme="majorHAnsi" w:eastAsia="Times New Roman" w:hAnsiTheme="majorHAnsi"/>
          <w:sz w:val="24"/>
        </w:rPr>
        <w:t xml:space="preserve"> да води до подобряване на качеството на проектните предложения. Всяка информация, предоставена извън официално изисканата от Комисията за подбор, </w:t>
      </w:r>
      <w:r w:rsidRPr="00AE5CD3">
        <w:rPr>
          <w:rFonts w:asciiTheme="majorHAnsi" w:eastAsia="Times New Roman" w:hAnsiTheme="majorHAnsi"/>
          <w:sz w:val="24"/>
          <w:u w:val="single"/>
        </w:rPr>
        <w:t>неможе</w:t>
      </w:r>
      <w:r w:rsidRPr="00AE5CD3">
        <w:rPr>
          <w:rFonts w:asciiTheme="majorHAnsi" w:eastAsia="Times New Roman" w:hAnsiTheme="majorHAnsi"/>
          <w:sz w:val="24"/>
        </w:rPr>
        <w:t xml:space="preserve"> да се взема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дружеството и други подобни обстоятелства), която не води до подобряване на първоначалното проектно предложение.</w:t>
      </w:r>
    </w:p>
    <w:p w:rsidR="002E6AAC" w:rsidRDefault="002E6AAC" w:rsidP="00E0252D">
      <w:pPr>
        <w:pStyle w:val="aa"/>
        <w:pBdr>
          <w:top w:val="single" w:sz="4" w:space="1" w:color="auto"/>
          <w:left w:val="single" w:sz="4" w:space="1" w:color="auto"/>
          <w:bottom w:val="single" w:sz="4" w:space="1" w:color="auto"/>
          <w:right w:val="single" w:sz="4" w:space="1" w:color="auto"/>
        </w:pBdr>
        <w:spacing w:after="0" w:line="240" w:lineRule="auto"/>
        <w:ind w:left="0"/>
        <w:jc w:val="both"/>
        <w:rPr>
          <w:rFonts w:asciiTheme="majorHAnsi" w:eastAsia="Times New Roman" w:hAnsiTheme="majorHAnsi"/>
          <w:sz w:val="24"/>
        </w:rPr>
      </w:pPr>
    </w:p>
    <w:p w:rsidR="002E6AAC" w:rsidRDefault="002E6AAC" w:rsidP="00E0252D">
      <w:pPr>
        <w:pStyle w:val="aa"/>
        <w:pBdr>
          <w:top w:val="single" w:sz="4" w:space="1" w:color="auto"/>
          <w:left w:val="single" w:sz="4" w:space="1" w:color="auto"/>
          <w:bottom w:val="single" w:sz="4" w:space="1" w:color="auto"/>
          <w:right w:val="single" w:sz="4" w:space="1" w:color="auto"/>
        </w:pBdr>
        <w:spacing w:after="0" w:line="240" w:lineRule="auto"/>
        <w:ind w:left="0"/>
        <w:jc w:val="both"/>
        <w:rPr>
          <w:rFonts w:asciiTheme="majorHAnsi" w:eastAsia="Times New Roman" w:hAnsiTheme="majorHAnsi"/>
          <w:sz w:val="24"/>
        </w:rPr>
      </w:pPr>
      <w:r w:rsidRPr="002E6AAC">
        <w:rPr>
          <w:rFonts w:asciiTheme="majorHAnsi" w:eastAsia="Times New Roman" w:hAnsiTheme="majorHAnsi"/>
          <w:sz w:val="24"/>
        </w:rPr>
        <w:lastRenderedPageBreak/>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w:t>
      </w:r>
    </w:p>
    <w:p w:rsidR="005A1B22" w:rsidRPr="00E0252D" w:rsidRDefault="00CB4FB6" w:rsidP="00E0252D">
      <w:pPr>
        <w:pStyle w:val="aa"/>
        <w:pBdr>
          <w:top w:val="single" w:sz="4" w:space="1" w:color="auto"/>
          <w:left w:val="single" w:sz="4" w:space="1" w:color="auto"/>
          <w:bottom w:val="single" w:sz="4" w:space="1" w:color="auto"/>
          <w:right w:val="single" w:sz="4" w:space="1" w:color="auto"/>
        </w:pBdr>
        <w:spacing w:after="0" w:line="240" w:lineRule="auto"/>
        <w:ind w:left="0"/>
        <w:jc w:val="both"/>
        <w:rPr>
          <w:rFonts w:asciiTheme="majorHAnsi" w:eastAsia="Times New Roman" w:hAnsiTheme="majorHAnsi"/>
          <w:b/>
          <w:sz w:val="24"/>
        </w:rPr>
      </w:pPr>
      <w:r w:rsidRPr="00E0252D">
        <w:rPr>
          <w:rFonts w:asciiTheme="majorHAnsi" w:eastAsia="Times New Roman" w:hAnsiTheme="majorHAnsi"/>
          <w:b/>
          <w:sz w:val="24"/>
        </w:rPr>
        <w:t>ВАЖНО: При деклариране на неверни данни от страна на кандидатите се уведомяват органите на прокуратурата.</w:t>
      </w:r>
    </w:p>
    <w:p w:rsidR="00E0252D" w:rsidRPr="00E0252D" w:rsidRDefault="00E0252D" w:rsidP="00E0252D">
      <w:pPr>
        <w:pStyle w:val="aa"/>
        <w:pBdr>
          <w:top w:val="single" w:sz="4" w:space="1" w:color="auto"/>
          <w:left w:val="single" w:sz="4" w:space="1" w:color="auto"/>
          <w:bottom w:val="single" w:sz="4" w:space="1" w:color="auto"/>
          <w:right w:val="single" w:sz="4" w:space="1" w:color="auto"/>
        </w:pBdr>
        <w:spacing w:after="0" w:line="240" w:lineRule="auto"/>
        <w:ind w:left="0"/>
        <w:jc w:val="both"/>
        <w:rPr>
          <w:rFonts w:asciiTheme="majorHAnsi" w:eastAsia="Times New Roman" w:hAnsiTheme="majorHAnsi"/>
          <w:sz w:val="24"/>
        </w:rPr>
      </w:pPr>
    </w:p>
    <w:p w:rsidR="00F96A93" w:rsidRPr="00F96A93" w:rsidRDefault="00F96A93" w:rsidP="008119B6">
      <w:pPr>
        <w:pStyle w:val="20"/>
        <w:spacing w:before="0" w:line="240" w:lineRule="auto"/>
        <w:rPr>
          <w:rFonts w:asciiTheme="majorHAnsi" w:hAnsiTheme="majorHAnsi"/>
        </w:rPr>
      </w:pPr>
      <w:bookmarkStart w:id="144" w:name="_Toc476823167"/>
      <w:bookmarkStart w:id="145" w:name="_Toc514333724"/>
      <w:bookmarkStart w:id="146" w:name="_Toc514334564"/>
      <w:bookmarkStart w:id="147" w:name="_Toc514334656"/>
    </w:p>
    <w:p w:rsidR="005A1B22" w:rsidRPr="00AE5CD3" w:rsidRDefault="005A1B22" w:rsidP="008119B6">
      <w:pPr>
        <w:pStyle w:val="20"/>
        <w:spacing w:before="0" w:line="240" w:lineRule="auto"/>
        <w:rPr>
          <w:rFonts w:asciiTheme="majorHAnsi" w:hAnsiTheme="majorHAnsi"/>
        </w:rPr>
      </w:pPr>
      <w:r w:rsidRPr="00AE5CD3">
        <w:rPr>
          <w:rFonts w:asciiTheme="majorHAnsi" w:hAnsiTheme="majorHAnsi"/>
        </w:rPr>
        <w:t>25. Краен срок за подаване на проектните предложения</w:t>
      </w:r>
      <w:bookmarkEnd w:id="144"/>
      <w:bookmarkEnd w:id="145"/>
      <w:bookmarkEnd w:id="146"/>
      <w:bookmarkEnd w:id="147"/>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heme="majorHAnsi" w:hAnsiTheme="majorHAnsi"/>
          <w:color w:val="000000"/>
          <w:sz w:val="24"/>
          <w:szCs w:val="24"/>
        </w:rPr>
      </w:pPr>
      <w:r w:rsidRPr="00AE5CD3">
        <w:rPr>
          <w:rFonts w:asciiTheme="majorHAnsi" w:hAnsiTheme="majorHAnsi"/>
          <w:color w:val="000000"/>
          <w:sz w:val="24"/>
          <w:szCs w:val="24"/>
        </w:rPr>
        <w:t>На основание чл.42 , ал.4 от ПМС №161/2016 г., настоящата процедура за подбор на проекти е с  няколко крайни срока за подаване на проектни предложения:</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heme="majorHAnsi" w:hAnsiTheme="majorHAnsi"/>
          <w:color w:val="000000"/>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b/>
          <w:bCs/>
          <w:sz w:val="24"/>
          <w:szCs w:val="24"/>
        </w:rPr>
      </w:pPr>
      <w:r w:rsidRPr="00AE5CD3">
        <w:rPr>
          <w:rFonts w:asciiTheme="majorHAnsi" w:hAnsiTheme="majorHAnsi"/>
          <w:b/>
          <w:bCs/>
          <w:sz w:val="24"/>
          <w:szCs w:val="24"/>
        </w:rPr>
        <w:t>Първият краен срок за подава</w:t>
      </w:r>
      <w:r w:rsidR="006E34EA" w:rsidRPr="00AE5CD3">
        <w:rPr>
          <w:rFonts w:asciiTheme="majorHAnsi" w:hAnsiTheme="majorHAnsi"/>
          <w:b/>
          <w:bCs/>
          <w:sz w:val="24"/>
          <w:szCs w:val="24"/>
        </w:rPr>
        <w:t xml:space="preserve">не на проектните предложения е </w:t>
      </w:r>
      <w:r w:rsidR="00E0252D">
        <w:rPr>
          <w:rFonts w:asciiTheme="majorHAnsi" w:hAnsiTheme="majorHAnsi"/>
          <w:b/>
          <w:bCs/>
          <w:sz w:val="24"/>
          <w:szCs w:val="24"/>
        </w:rPr>
        <w:t>17</w:t>
      </w:r>
      <w:r w:rsidRPr="00AE5CD3">
        <w:rPr>
          <w:rFonts w:asciiTheme="majorHAnsi" w:hAnsiTheme="majorHAnsi"/>
          <w:b/>
          <w:bCs/>
          <w:sz w:val="24"/>
          <w:szCs w:val="24"/>
        </w:rPr>
        <w:t>.</w:t>
      </w:r>
      <w:r w:rsidR="00E0252D">
        <w:rPr>
          <w:rFonts w:asciiTheme="majorHAnsi" w:hAnsiTheme="majorHAnsi"/>
          <w:b/>
          <w:bCs/>
          <w:sz w:val="24"/>
          <w:szCs w:val="24"/>
        </w:rPr>
        <w:t>12</w:t>
      </w:r>
      <w:r w:rsidRPr="00AE5CD3">
        <w:rPr>
          <w:rFonts w:asciiTheme="majorHAnsi" w:hAnsiTheme="majorHAnsi"/>
          <w:b/>
          <w:bCs/>
          <w:sz w:val="24"/>
          <w:szCs w:val="24"/>
        </w:rPr>
        <w:t xml:space="preserve">.2018 г. </w:t>
      </w:r>
      <w:r w:rsidR="007A0547">
        <w:rPr>
          <w:rFonts w:asciiTheme="majorHAnsi" w:hAnsiTheme="majorHAnsi"/>
          <w:b/>
          <w:bCs/>
          <w:sz w:val="24"/>
          <w:szCs w:val="24"/>
        </w:rPr>
        <w:t>17</w:t>
      </w:r>
      <w:r w:rsidRPr="00AE5CD3">
        <w:rPr>
          <w:rFonts w:asciiTheme="majorHAnsi" w:hAnsiTheme="majorHAnsi"/>
          <w:b/>
          <w:bCs/>
          <w:sz w:val="24"/>
          <w:szCs w:val="24"/>
        </w:rPr>
        <w:t>:</w:t>
      </w:r>
      <w:r w:rsidR="007A0547">
        <w:rPr>
          <w:rFonts w:asciiTheme="majorHAnsi" w:hAnsiTheme="majorHAnsi"/>
          <w:b/>
          <w:bCs/>
          <w:sz w:val="24"/>
          <w:szCs w:val="24"/>
        </w:rPr>
        <w:t>00</w:t>
      </w:r>
      <w:r w:rsidR="00346DDD">
        <w:rPr>
          <w:rFonts w:asciiTheme="majorHAnsi" w:hAnsiTheme="majorHAnsi"/>
          <w:b/>
          <w:bCs/>
          <w:sz w:val="24"/>
          <w:szCs w:val="24"/>
        </w:rPr>
        <w:t xml:space="preserve"> </w:t>
      </w:r>
      <w:r w:rsidRPr="00AE5CD3">
        <w:rPr>
          <w:rFonts w:asciiTheme="majorHAnsi" w:hAnsiTheme="majorHAnsi"/>
          <w:b/>
          <w:bCs/>
          <w:sz w:val="24"/>
          <w:szCs w:val="24"/>
        </w:rPr>
        <w:t>часа.</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b/>
          <w:bCs/>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b/>
          <w:bCs/>
          <w:sz w:val="24"/>
          <w:szCs w:val="24"/>
        </w:rPr>
      </w:pPr>
      <w:r w:rsidRPr="00AE5CD3">
        <w:rPr>
          <w:rFonts w:asciiTheme="majorHAnsi" w:hAnsiTheme="majorHAnsi"/>
          <w:b/>
          <w:bCs/>
          <w:sz w:val="24"/>
          <w:szCs w:val="24"/>
        </w:rPr>
        <w:t xml:space="preserve">Вторият краен срок за подаване на проектните предложения е </w:t>
      </w:r>
      <w:r w:rsidR="006E34EA" w:rsidRPr="00AE5CD3">
        <w:rPr>
          <w:rFonts w:asciiTheme="majorHAnsi" w:hAnsiTheme="majorHAnsi"/>
          <w:b/>
          <w:bCs/>
          <w:sz w:val="24"/>
          <w:szCs w:val="24"/>
        </w:rPr>
        <w:t>2</w:t>
      </w:r>
      <w:r w:rsidR="00E0252D">
        <w:rPr>
          <w:rFonts w:asciiTheme="majorHAnsi" w:hAnsiTheme="majorHAnsi"/>
          <w:b/>
          <w:bCs/>
          <w:sz w:val="24"/>
          <w:szCs w:val="24"/>
        </w:rPr>
        <w:t>9</w:t>
      </w:r>
      <w:r w:rsidRPr="00AE5CD3">
        <w:rPr>
          <w:rFonts w:asciiTheme="majorHAnsi" w:hAnsiTheme="majorHAnsi"/>
          <w:b/>
          <w:bCs/>
          <w:sz w:val="24"/>
          <w:szCs w:val="24"/>
        </w:rPr>
        <w:t>.0</w:t>
      </w:r>
      <w:r w:rsidR="006E34EA" w:rsidRPr="00AE5CD3">
        <w:rPr>
          <w:rFonts w:asciiTheme="majorHAnsi" w:hAnsiTheme="majorHAnsi"/>
          <w:b/>
          <w:bCs/>
          <w:sz w:val="24"/>
          <w:szCs w:val="24"/>
        </w:rPr>
        <w:t>7.2019</w:t>
      </w:r>
      <w:r w:rsidR="007A59AE" w:rsidRPr="00AE5CD3">
        <w:rPr>
          <w:rFonts w:asciiTheme="majorHAnsi" w:hAnsiTheme="majorHAnsi"/>
          <w:b/>
          <w:bCs/>
          <w:sz w:val="24"/>
          <w:szCs w:val="24"/>
        </w:rPr>
        <w:t xml:space="preserve"> г. </w:t>
      </w:r>
      <w:r w:rsidR="007A0547">
        <w:rPr>
          <w:rFonts w:asciiTheme="majorHAnsi" w:hAnsiTheme="majorHAnsi"/>
          <w:b/>
          <w:bCs/>
          <w:sz w:val="24"/>
          <w:szCs w:val="24"/>
        </w:rPr>
        <w:t>17</w:t>
      </w:r>
      <w:r w:rsidRPr="00AE5CD3">
        <w:rPr>
          <w:rFonts w:asciiTheme="majorHAnsi" w:hAnsiTheme="majorHAnsi"/>
          <w:b/>
          <w:bCs/>
          <w:sz w:val="24"/>
          <w:szCs w:val="24"/>
        </w:rPr>
        <w:t>:</w:t>
      </w:r>
      <w:r w:rsidR="007A0547">
        <w:rPr>
          <w:rFonts w:asciiTheme="majorHAnsi" w:hAnsiTheme="majorHAnsi"/>
          <w:b/>
          <w:bCs/>
          <w:sz w:val="24"/>
          <w:szCs w:val="24"/>
        </w:rPr>
        <w:t>00</w:t>
      </w:r>
      <w:r w:rsidRPr="00AE5CD3">
        <w:rPr>
          <w:rFonts w:asciiTheme="majorHAnsi" w:hAnsiTheme="majorHAnsi"/>
          <w:b/>
          <w:bCs/>
          <w:sz w:val="24"/>
          <w:szCs w:val="24"/>
        </w:rPr>
        <w:t xml:space="preserve"> часа. </w:t>
      </w:r>
      <w:r w:rsidR="00EA4EE6" w:rsidRPr="00EA4EE6">
        <w:rPr>
          <w:rFonts w:asciiTheme="majorHAnsi" w:hAnsiTheme="majorHAnsi"/>
          <w:bCs/>
          <w:i/>
          <w:sz w:val="24"/>
          <w:szCs w:val="24"/>
        </w:rPr>
        <w:t xml:space="preserve">Приемът по втори краен </w:t>
      </w:r>
      <w:r w:rsidR="00EA4EE6">
        <w:rPr>
          <w:rFonts w:asciiTheme="majorHAnsi" w:hAnsiTheme="majorHAnsi"/>
          <w:bCs/>
          <w:i/>
          <w:sz w:val="24"/>
          <w:szCs w:val="24"/>
        </w:rPr>
        <w:t xml:space="preserve">срок </w:t>
      </w:r>
      <w:r w:rsidR="00EA4EE6" w:rsidRPr="00EA4EE6">
        <w:rPr>
          <w:rFonts w:asciiTheme="majorHAnsi" w:hAnsiTheme="majorHAnsi"/>
          <w:bCs/>
          <w:i/>
          <w:sz w:val="24"/>
          <w:szCs w:val="24"/>
        </w:rPr>
        <w:t>се провежда, в</w:t>
      </w:r>
      <w:r w:rsidR="001B5E1E" w:rsidRPr="001B5E1E">
        <w:rPr>
          <w:rFonts w:asciiTheme="majorHAnsi" w:hAnsiTheme="majorHAnsi"/>
          <w:bCs/>
          <w:i/>
          <w:sz w:val="24"/>
          <w:szCs w:val="24"/>
          <w:lang w:val="ru-RU"/>
        </w:rPr>
        <w:t xml:space="preserve"> </w:t>
      </w:r>
      <w:r w:rsidRPr="00AE5CD3">
        <w:rPr>
          <w:rFonts w:asciiTheme="majorHAnsi" w:hAnsiTheme="majorHAnsi"/>
          <w:bCs/>
          <w:i/>
          <w:sz w:val="24"/>
          <w:szCs w:val="24"/>
        </w:rPr>
        <w:t xml:space="preserve">случай че са налични остатъчни средства от първия </w:t>
      </w:r>
      <w:r w:rsidR="006E34EA" w:rsidRPr="00AE5CD3">
        <w:rPr>
          <w:rFonts w:asciiTheme="majorHAnsi" w:hAnsiTheme="majorHAnsi"/>
          <w:bCs/>
          <w:i/>
          <w:sz w:val="24"/>
          <w:szCs w:val="24"/>
        </w:rPr>
        <w:t xml:space="preserve">прием </w:t>
      </w:r>
      <w:r w:rsidRPr="00AE5CD3">
        <w:rPr>
          <w:rFonts w:asciiTheme="majorHAnsi" w:hAnsiTheme="majorHAnsi"/>
          <w:bCs/>
          <w:i/>
          <w:sz w:val="24"/>
          <w:szCs w:val="24"/>
        </w:rPr>
        <w:t xml:space="preserve"> за подаване на проектни предложени</w:t>
      </w:r>
      <w:r w:rsidR="00EA4EE6">
        <w:rPr>
          <w:rFonts w:asciiTheme="majorHAnsi" w:hAnsiTheme="majorHAnsi"/>
          <w:bCs/>
          <w:i/>
          <w:sz w:val="24"/>
          <w:szCs w:val="24"/>
        </w:rPr>
        <w:t>я</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b/>
          <w:bCs/>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b/>
          <w:bCs/>
          <w:sz w:val="24"/>
          <w:szCs w:val="24"/>
        </w:rPr>
      </w:pPr>
      <w:r w:rsidRPr="00AE5CD3">
        <w:rPr>
          <w:rFonts w:asciiTheme="majorHAnsi" w:hAnsiTheme="majorHAnsi"/>
          <w:b/>
          <w:bCs/>
          <w:sz w:val="24"/>
          <w:szCs w:val="24"/>
        </w:rPr>
        <w:t>Третият краен срок за подава</w:t>
      </w:r>
      <w:r w:rsidR="00E0252D">
        <w:rPr>
          <w:rFonts w:asciiTheme="majorHAnsi" w:hAnsiTheme="majorHAnsi"/>
          <w:b/>
          <w:bCs/>
          <w:sz w:val="24"/>
          <w:szCs w:val="24"/>
        </w:rPr>
        <w:t>не на проектните предложения е 18</w:t>
      </w:r>
      <w:r w:rsidR="006E34EA" w:rsidRPr="00AE5CD3">
        <w:rPr>
          <w:rFonts w:asciiTheme="majorHAnsi" w:hAnsiTheme="majorHAnsi"/>
          <w:b/>
          <w:bCs/>
          <w:sz w:val="24"/>
          <w:szCs w:val="24"/>
        </w:rPr>
        <w:t>.0</w:t>
      </w:r>
      <w:r w:rsidR="003F2254" w:rsidRPr="00AE5CD3">
        <w:rPr>
          <w:rFonts w:asciiTheme="majorHAnsi" w:hAnsiTheme="majorHAnsi"/>
          <w:b/>
          <w:bCs/>
          <w:sz w:val="24"/>
          <w:szCs w:val="24"/>
        </w:rPr>
        <w:t>3</w:t>
      </w:r>
      <w:r w:rsidRPr="00AE5CD3">
        <w:rPr>
          <w:rFonts w:asciiTheme="majorHAnsi" w:hAnsiTheme="majorHAnsi"/>
          <w:b/>
          <w:bCs/>
          <w:sz w:val="24"/>
          <w:szCs w:val="24"/>
        </w:rPr>
        <w:t xml:space="preserve">.2020г. </w:t>
      </w:r>
      <w:r w:rsidR="00980337">
        <w:rPr>
          <w:rFonts w:asciiTheme="majorHAnsi" w:hAnsiTheme="majorHAnsi"/>
          <w:b/>
          <w:bCs/>
          <w:sz w:val="24"/>
          <w:szCs w:val="24"/>
        </w:rPr>
        <w:t>17</w:t>
      </w:r>
      <w:r w:rsidRPr="00AE5CD3">
        <w:rPr>
          <w:rFonts w:asciiTheme="majorHAnsi" w:hAnsiTheme="majorHAnsi"/>
          <w:b/>
          <w:bCs/>
          <w:sz w:val="24"/>
          <w:szCs w:val="24"/>
        </w:rPr>
        <w:t>:</w:t>
      </w:r>
      <w:r w:rsidR="00980337">
        <w:rPr>
          <w:rFonts w:asciiTheme="majorHAnsi" w:hAnsiTheme="majorHAnsi"/>
          <w:b/>
          <w:bCs/>
          <w:sz w:val="24"/>
          <w:szCs w:val="24"/>
        </w:rPr>
        <w:t>00</w:t>
      </w:r>
      <w:r w:rsidRPr="00AE5CD3">
        <w:rPr>
          <w:rFonts w:asciiTheme="majorHAnsi" w:hAnsiTheme="majorHAnsi"/>
          <w:b/>
          <w:bCs/>
          <w:sz w:val="24"/>
          <w:szCs w:val="24"/>
        </w:rPr>
        <w:t xml:space="preserve"> часа.</w:t>
      </w:r>
      <w:r w:rsidR="00E0252D">
        <w:rPr>
          <w:rFonts w:asciiTheme="majorHAnsi" w:hAnsiTheme="majorHAnsi"/>
          <w:b/>
          <w:bCs/>
          <w:sz w:val="24"/>
          <w:szCs w:val="24"/>
        </w:rPr>
        <w:t xml:space="preserve"> </w:t>
      </w:r>
      <w:r w:rsidR="00EA4EE6" w:rsidRPr="00EA4EE6">
        <w:rPr>
          <w:rFonts w:asciiTheme="majorHAnsi" w:hAnsiTheme="majorHAnsi"/>
          <w:bCs/>
          <w:i/>
          <w:sz w:val="24"/>
          <w:szCs w:val="24"/>
        </w:rPr>
        <w:t xml:space="preserve">Приемът по втори краен </w:t>
      </w:r>
      <w:r w:rsidR="00EA4EE6">
        <w:rPr>
          <w:rFonts w:asciiTheme="majorHAnsi" w:hAnsiTheme="majorHAnsi"/>
          <w:bCs/>
          <w:i/>
          <w:sz w:val="24"/>
          <w:szCs w:val="24"/>
        </w:rPr>
        <w:t xml:space="preserve">срок </w:t>
      </w:r>
      <w:r w:rsidR="00EA4EE6" w:rsidRPr="00EA4EE6">
        <w:rPr>
          <w:rFonts w:asciiTheme="majorHAnsi" w:hAnsiTheme="majorHAnsi"/>
          <w:bCs/>
          <w:i/>
          <w:sz w:val="24"/>
          <w:szCs w:val="24"/>
        </w:rPr>
        <w:t>се провежда</w:t>
      </w:r>
      <w:r w:rsidR="00EA4EE6">
        <w:rPr>
          <w:rFonts w:asciiTheme="majorHAnsi" w:hAnsiTheme="majorHAnsi"/>
          <w:bCs/>
          <w:i/>
          <w:sz w:val="24"/>
          <w:szCs w:val="24"/>
        </w:rPr>
        <w:t xml:space="preserve">, </w:t>
      </w:r>
      <w:r w:rsidRPr="00AE5CD3">
        <w:rPr>
          <w:rFonts w:asciiTheme="majorHAnsi" w:hAnsiTheme="majorHAnsi"/>
          <w:bCs/>
          <w:i/>
          <w:sz w:val="24"/>
          <w:szCs w:val="24"/>
        </w:rPr>
        <w:t>в случай че са налични остатъчни средства от първия и втори</w:t>
      </w:r>
      <w:r w:rsidR="006E34EA" w:rsidRPr="00AE5CD3">
        <w:rPr>
          <w:rFonts w:asciiTheme="majorHAnsi" w:hAnsiTheme="majorHAnsi"/>
          <w:bCs/>
          <w:i/>
          <w:sz w:val="24"/>
          <w:szCs w:val="24"/>
        </w:rPr>
        <w:t xml:space="preserve"> приеми  </w:t>
      </w:r>
      <w:r w:rsidRPr="00AE5CD3">
        <w:rPr>
          <w:rFonts w:asciiTheme="majorHAnsi" w:hAnsiTheme="majorHAnsi"/>
          <w:bCs/>
          <w:i/>
          <w:sz w:val="24"/>
          <w:szCs w:val="24"/>
        </w:rPr>
        <w:t xml:space="preserve"> за подаване на проектни предложения</w:t>
      </w:r>
      <w:r w:rsidR="00EA4EE6">
        <w:rPr>
          <w:rFonts w:asciiTheme="majorHAnsi" w:hAnsiTheme="majorHAnsi"/>
          <w:bCs/>
          <w:i/>
          <w:sz w:val="24"/>
          <w:szCs w:val="24"/>
        </w:rPr>
        <w:t>.</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b/>
          <w:bCs/>
          <w:sz w:val="24"/>
          <w:szCs w:val="24"/>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bCs/>
          <w:color w:val="000000"/>
          <w:sz w:val="24"/>
          <w:szCs w:val="24"/>
        </w:rPr>
      </w:pPr>
      <w:r w:rsidRPr="00AE5CD3">
        <w:rPr>
          <w:rFonts w:asciiTheme="majorHAnsi" w:hAnsiTheme="majorHAnsi"/>
          <w:b/>
          <w:bCs/>
          <w:color w:val="000000"/>
          <w:sz w:val="24"/>
          <w:szCs w:val="24"/>
        </w:rPr>
        <w:t xml:space="preserve">ВАЖНО: </w:t>
      </w:r>
      <w:r w:rsidRPr="00AE5CD3">
        <w:rPr>
          <w:rFonts w:asciiTheme="majorHAnsi" w:hAnsiTheme="majorHAnsi"/>
          <w:bCs/>
          <w:color w:val="000000"/>
          <w:sz w:val="24"/>
          <w:szCs w:val="24"/>
        </w:rPr>
        <w:t>Всяко проектно предложение подадено след крайния срок,  няма да бъде разглеждано.</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120" w:line="240" w:lineRule="auto"/>
        <w:ind w:left="0"/>
        <w:jc w:val="both"/>
        <w:rPr>
          <w:rFonts w:asciiTheme="majorHAnsi" w:hAnsiTheme="majorHAnsi"/>
          <w:b/>
          <w:sz w:val="24"/>
          <w:szCs w:val="24"/>
        </w:rPr>
      </w:pPr>
    </w:p>
    <w:p w:rsidR="00E23C63" w:rsidRDefault="005A1B22" w:rsidP="008119B6">
      <w:pPr>
        <w:pStyle w:val="aa"/>
        <w:pBdr>
          <w:top w:val="single" w:sz="4" w:space="1" w:color="auto"/>
          <w:left w:val="single" w:sz="4" w:space="4" w:color="auto"/>
          <w:bottom w:val="single" w:sz="4" w:space="1" w:color="auto"/>
          <w:right w:val="single" w:sz="4" w:space="4" w:color="auto"/>
        </w:pBdr>
        <w:spacing w:after="120" w:line="240" w:lineRule="auto"/>
        <w:ind w:left="0"/>
        <w:jc w:val="both"/>
        <w:rPr>
          <w:rFonts w:asciiTheme="majorHAnsi" w:hAnsiTheme="majorHAnsi"/>
          <w:sz w:val="24"/>
          <w:szCs w:val="24"/>
        </w:rPr>
      </w:pPr>
      <w:r w:rsidRPr="00AE5CD3">
        <w:rPr>
          <w:rFonts w:asciiTheme="majorHAnsi" w:hAnsiTheme="majorHAnsi"/>
          <w:b/>
          <w:sz w:val="24"/>
          <w:szCs w:val="24"/>
        </w:rPr>
        <w:t xml:space="preserve">ВАЖНО: </w:t>
      </w:r>
      <w:r w:rsidRPr="00AE5CD3">
        <w:rPr>
          <w:rFonts w:asciiTheme="majorHAnsi" w:hAnsiTheme="majorHAnsi"/>
          <w:sz w:val="24"/>
          <w:szCs w:val="24"/>
        </w:rPr>
        <w:t xml:space="preserve">В рамките на всяка обявена процедура кандидатите могат да подадат само едно проектно предложение. </w:t>
      </w:r>
      <w:r w:rsidR="00E23C63" w:rsidRPr="00E23C63">
        <w:rPr>
          <w:rFonts w:asciiTheme="majorHAnsi" w:hAnsiTheme="majorHAnsi"/>
          <w:sz w:val="24"/>
          <w:szCs w:val="24"/>
        </w:rPr>
        <w:t>При подаване на повече от едно предложение от кандидат</w:t>
      </w:r>
      <w:r w:rsidR="00E0252D">
        <w:rPr>
          <w:rFonts w:asciiTheme="majorHAnsi" w:hAnsiTheme="majorHAnsi"/>
          <w:sz w:val="24"/>
          <w:szCs w:val="24"/>
        </w:rPr>
        <w:t>,</w:t>
      </w:r>
      <w:r w:rsidR="00E23C63" w:rsidRPr="00E23C63">
        <w:rPr>
          <w:rFonts w:asciiTheme="majorHAnsi" w:hAnsiTheme="majorHAnsi"/>
          <w:sz w:val="24"/>
          <w:szCs w:val="24"/>
        </w:rPr>
        <w:t xml:space="preserve"> Комисията за подбор следва да отправи запитване към кандидата да определи кое проектно предложение да бъде обект на разглеждане. </w:t>
      </w:r>
    </w:p>
    <w:p w:rsidR="00BD0A44" w:rsidRDefault="006F4EE4" w:rsidP="008119B6">
      <w:pPr>
        <w:pStyle w:val="aa"/>
        <w:pBdr>
          <w:top w:val="single" w:sz="4" w:space="1" w:color="auto"/>
          <w:left w:val="single" w:sz="4" w:space="4" w:color="auto"/>
          <w:bottom w:val="single" w:sz="4" w:space="1" w:color="auto"/>
          <w:right w:val="single" w:sz="4" w:space="4" w:color="auto"/>
        </w:pBdr>
        <w:spacing w:after="120" w:line="240" w:lineRule="auto"/>
        <w:ind w:left="0"/>
        <w:jc w:val="both"/>
        <w:rPr>
          <w:rFonts w:asciiTheme="majorHAnsi" w:hAnsiTheme="majorHAnsi"/>
          <w:sz w:val="24"/>
          <w:szCs w:val="24"/>
        </w:rPr>
      </w:pPr>
      <w:r w:rsidRPr="006F4EE4">
        <w:rPr>
          <w:rFonts w:asciiTheme="majorHAnsi" w:hAnsiTheme="majorHAnsi"/>
          <w:bCs/>
          <w:sz w:val="24"/>
          <w:szCs w:val="24"/>
        </w:rPr>
        <w:t xml:space="preserve">В случай че по дадена процедура бъдат подадени проектни предложения от няколко свързани предприятия, осъществяващи сходна дейност, административен договор за предоставяне на безвъзмездна финансова помощ може да бъде сключен само с едно от тези предприятия. Преди сключване на административния договор, Управляващият орган ще извършва и документална проверка за включени в списъка с одобрени за финансиране проектни предложения/списъка с резервни кандидати за свързани предприятия, осъществяващи сходна основна икономическа дейност. В случай, че бъде установено наличие на посоченото обстоятелство, ще бъде издадено Решение за отказ за предоставяне на безвъзмездна финансова помощ на всяко проектно предложение от списъка с одобрени за финансиране проектни предложения, класирано след първото такова по точки, което също е включено списъка с одобрени за финансиране проектни предложения/списъка с резервни проектни предложения. </w:t>
      </w:r>
      <w:r w:rsidRPr="006F4EE4">
        <w:rPr>
          <w:rFonts w:asciiTheme="majorHAnsi" w:hAnsiTheme="majorHAnsi"/>
          <w:sz w:val="24"/>
          <w:szCs w:val="24"/>
        </w:rPr>
        <w:t>Под свързани предприятия се разбират предприятията по чл. 4, ал. 4-8 от Закона за малките и средните предприяти</w:t>
      </w:r>
      <w:r w:rsidR="004D0FC6">
        <w:rPr>
          <w:rFonts w:asciiTheme="majorHAnsi" w:hAnsiTheme="majorHAnsi"/>
          <w:sz w:val="24"/>
          <w:szCs w:val="24"/>
        </w:rPr>
        <w:t>я. Под сходна дейност следва да се разбира  основна икономическа дейност, попадаща в същия клас (четирицифрен код), съгласно Класификацията на икономическите дейности – КИД 2008.</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heme="majorHAnsi" w:hAnsiTheme="majorHAnsi"/>
          <w:sz w:val="24"/>
          <w:szCs w:val="24"/>
        </w:rPr>
      </w:pPr>
      <w:r w:rsidRPr="00AE5CD3">
        <w:rPr>
          <w:rFonts w:asciiTheme="majorHAnsi" w:hAnsiTheme="majorHAnsi"/>
          <w:sz w:val="24"/>
          <w:szCs w:val="24"/>
        </w:rPr>
        <w:t xml:space="preserve">Кандидатите могат да задават допълнителни въпроси и да искат разяснения във връзка с Условията за кандидатстване до 3 седмици преди крайния срок за подаване на проектни предложения. Допълнителни въпроси могат да се задават </w:t>
      </w:r>
      <w:r w:rsidRPr="00AE5CD3">
        <w:rPr>
          <w:rFonts w:asciiTheme="majorHAnsi" w:hAnsiTheme="majorHAnsi"/>
          <w:color w:val="000000"/>
          <w:sz w:val="24"/>
          <w:szCs w:val="24"/>
        </w:rPr>
        <w:t>на  електронната поща</w:t>
      </w:r>
      <w:r w:rsidRPr="00AE5CD3">
        <w:rPr>
          <w:rFonts w:asciiTheme="majorHAnsi" w:hAnsiTheme="majorHAnsi"/>
          <w:sz w:val="24"/>
          <w:szCs w:val="24"/>
        </w:rPr>
        <w:t xml:space="preserve"> на МИГ </w:t>
      </w:r>
      <w:r w:rsidR="006E34EA" w:rsidRPr="00AE5CD3">
        <w:rPr>
          <w:rFonts w:asciiTheme="majorHAnsi" w:hAnsiTheme="majorHAnsi"/>
          <w:sz w:val="24"/>
          <w:szCs w:val="24"/>
        </w:rPr>
        <w:t>Кирково – Златоград</w:t>
      </w:r>
      <w:r w:rsidRPr="00AE5CD3">
        <w:rPr>
          <w:rFonts w:asciiTheme="majorHAnsi" w:hAnsiTheme="majorHAnsi"/>
          <w:sz w:val="24"/>
          <w:szCs w:val="24"/>
        </w:rPr>
        <w:t>:</w:t>
      </w:r>
      <w:r w:rsidR="001B5E1E">
        <w:rPr>
          <w:rFonts w:asciiTheme="majorHAnsi" w:hAnsiTheme="majorHAnsi"/>
          <w:sz w:val="24"/>
          <w:szCs w:val="24"/>
        </w:rPr>
        <w:t xml:space="preserve"> </w:t>
      </w:r>
      <w:hyperlink r:id="rId19" w:history="1">
        <w:r w:rsidR="006E34EA" w:rsidRPr="00AE5CD3">
          <w:rPr>
            <w:rStyle w:val="af3"/>
            <w:rFonts w:asciiTheme="majorHAnsi" w:hAnsiTheme="majorHAnsi"/>
            <w:sz w:val="24"/>
            <w:szCs w:val="24"/>
          </w:rPr>
          <w:t>mig-zlatograd-kirkovo@abv.bg</w:t>
        </w:r>
      </w:hyperlink>
      <w:r w:rsidRPr="00AE5CD3">
        <w:rPr>
          <w:rFonts w:asciiTheme="majorHAnsi" w:hAnsiTheme="majorHAnsi"/>
          <w:sz w:val="24"/>
          <w:szCs w:val="24"/>
        </w:rPr>
        <w:t>, като се посочва наименованието на процедурата за подбор на проекти:</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heme="majorHAnsi" w:hAnsiTheme="majorHAnsi"/>
          <w:sz w:val="24"/>
          <w:szCs w:val="24"/>
        </w:rPr>
      </w:pPr>
      <w:r w:rsidRPr="00AE5CD3">
        <w:rPr>
          <w:rFonts w:asciiTheme="majorHAnsi" w:hAnsiTheme="majorHAnsi"/>
          <w:sz w:val="24"/>
          <w:szCs w:val="24"/>
        </w:rPr>
        <w:lastRenderedPageBreak/>
        <w:t xml:space="preserve">Отговорите на въпросите на кандидатите се публикуват на интернет страницата на МИГ </w:t>
      </w:r>
      <w:r w:rsidR="006E34EA" w:rsidRPr="00AE5CD3">
        <w:rPr>
          <w:rFonts w:asciiTheme="majorHAnsi" w:hAnsiTheme="majorHAnsi"/>
          <w:sz w:val="24"/>
          <w:szCs w:val="24"/>
        </w:rPr>
        <w:t>–</w:t>
      </w:r>
      <w:r w:rsidR="009030B3">
        <w:rPr>
          <w:rFonts w:asciiTheme="majorHAnsi" w:hAnsiTheme="majorHAnsi"/>
          <w:sz w:val="24"/>
          <w:szCs w:val="24"/>
        </w:rPr>
        <w:t xml:space="preserve">  </w:t>
      </w:r>
      <w:hyperlink r:id="rId20" w:history="1">
        <w:r w:rsidR="006E34EA" w:rsidRPr="00AE5CD3">
          <w:rPr>
            <w:rStyle w:val="af3"/>
            <w:rFonts w:asciiTheme="majorHAnsi" w:hAnsiTheme="majorHAnsi"/>
            <w:sz w:val="24"/>
            <w:szCs w:val="24"/>
          </w:rPr>
          <w:t>www.mig-kirkovo-zlatograd.com</w:t>
        </w:r>
      </w:hyperlink>
      <w:r w:rsidR="006E34EA" w:rsidRPr="00AE5CD3">
        <w:rPr>
          <w:rFonts w:asciiTheme="majorHAnsi" w:hAnsiTheme="majorHAnsi"/>
          <w:sz w:val="24"/>
          <w:szCs w:val="24"/>
        </w:rPr>
        <w:t xml:space="preserve">,  </w:t>
      </w:r>
      <w:r w:rsidRPr="00AE5CD3">
        <w:rPr>
          <w:rFonts w:asciiTheme="majorHAnsi" w:hAnsiTheme="majorHAnsi"/>
          <w:sz w:val="24"/>
          <w:szCs w:val="24"/>
        </w:rPr>
        <w:t xml:space="preserve"> както и в ИСУН 2020 в 10-дневен срок от получаването им, но не по-късно от две седмици преди изтичането на срока за кандидатстване.  </w:t>
      </w:r>
    </w:p>
    <w:p w:rsidR="005A1B22" w:rsidRDefault="005A1B22" w:rsidP="00EA4EE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AE5CD3">
        <w:rPr>
          <w:rFonts w:asciiTheme="majorHAnsi" w:hAnsiTheme="majorHAnsi"/>
          <w:sz w:val="24"/>
          <w:szCs w:val="24"/>
        </w:rPr>
        <w:t xml:space="preserve">Разясненията се дават по отношение на Условията за кандидатстване, не могат да съдържат становище относно качеството на проектното предложение </w:t>
      </w:r>
      <w:r w:rsidRPr="00AE5CD3">
        <w:rPr>
          <w:rFonts w:asciiTheme="majorHAnsi" w:hAnsiTheme="majorHAnsi"/>
          <w:sz w:val="24"/>
          <w:szCs w:val="24"/>
          <w:u w:val="single"/>
        </w:rPr>
        <w:t>и са задължителни за всички кандидати</w:t>
      </w:r>
      <w:r w:rsidRPr="00AE5CD3">
        <w:rPr>
          <w:rFonts w:asciiTheme="majorHAnsi" w:hAnsiTheme="majorHAnsi"/>
          <w:sz w:val="24"/>
          <w:szCs w:val="24"/>
        </w:rPr>
        <w:t>. Няма да бъдат предоставяни отговори на въпроси, зададени по телефона. Няма да бъдат изпращани индивидуални отговори на зададени от кандидатите по процедурата въпроси.</w:t>
      </w:r>
    </w:p>
    <w:p w:rsidR="00EA4EE6" w:rsidRPr="00AE5CD3" w:rsidRDefault="00EA4EE6" w:rsidP="00EA4EE6">
      <w:pPr>
        <w:pStyle w:val="aa"/>
        <w:pBdr>
          <w:top w:val="single" w:sz="4" w:space="1" w:color="auto"/>
          <w:left w:val="single" w:sz="4" w:space="4" w:color="auto"/>
          <w:bottom w:val="single" w:sz="4" w:space="1" w:color="auto"/>
          <w:right w:val="single" w:sz="4" w:space="4" w:color="auto"/>
        </w:pBdr>
        <w:spacing w:after="360" w:line="240" w:lineRule="auto"/>
        <w:ind w:left="0"/>
        <w:jc w:val="both"/>
        <w:rPr>
          <w:rFonts w:asciiTheme="majorHAnsi" w:hAnsiTheme="majorHAnsi"/>
          <w:sz w:val="24"/>
          <w:szCs w:val="24"/>
        </w:rPr>
      </w:pPr>
      <w:r w:rsidRPr="00EA4EE6">
        <w:rPr>
          <w:rFonts w:asciiTheme="majorHAnsi" w:hAnsiTheme="majorHAnsi"/>
          <w:sz w:val="24"/>
          <w:szCs w:val="24"/>
        </w:rPr>
        <w:t>Публикуваните отговори на въпроси задължително се вземат под внимание от страна на МИГ, Комисията по подбор на проекти по процедурата при оценката на проектните предложения и от кандидатите по процедурата.</w:t>
      </w:r>
    </w:p>
    <w:p w:rsidR="005A1B22" w:rsidRPr="00AE5CD3" w:rsidRDefault="005A1B22" w:rsidP="008119B6">
      <w:pPr>
        <w:pStyle w:val="20"/>
        <w:spacing w:before="0" w:line="240" w:lineRule="auto"/>
        <w:rPr>
          <w:rFonts w:asciiTheme="majorHAnsi" w:hAnsiTheme="majorHAnsi"/>
        </w:rPr>
      </w:pPr>
      <w:bookmarkStart w:id="148" w:name="_Toc476823168"/>
      <w:bookmarkStart w:id="149" w:name="_Toc514333725"/>
      <w:bookmarkStart w:id="150" w:name="_Toc514334565"/>
      <w:bookmarkStart w:id="151" w:name="_Toc514334657"/>
      <w:r w:rsidRPr="00AE5CD3">
        <w:rPr>
          <w:rFonts w:asciiTheme="majorHAnsi" w:hAnsiTheme="majorHAnsi"/>
        </w:rPr>
        <w:t>26. Адрес за подаване на проектните предложения/концепциите за проектни предложения</w:t>
      </w:r>
      <w:bookmarkEnd w:id="148"/>
      <w:bookmarkEnd w:id="149"/>
      <w:bookmarkEnd w:id="150"/>
      <w:bookmarkEnd w:id="151"/>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 w:val="24"/>
          <w:szCs w:val="24"/>
        </w:rPr>
      </w:pPr>
      <w:r w:rsidRPr="00AE5CD3">
        <w:rPr>
          <w:rFonts w:asciiTheme="majorHAnsi" w:hAnsiTheme="majorHAnsi"/>
          <w:sz w:val="24"/>
          <w:szCs w:val="24"/>
        </w:rPr>
        <w:t xml:space="preserve">Проектното предложение по настоящата процедура се подава изцяло по електронен път чрез ИСУН 2020 на следния интернет адрес </w:t>
      </w:r>
      <w:hyperlink r:id="rId21" w:history="1">
        <w:r w:rsidRPr="00AE5CD3">
          <w:rPr>
            <w:rFonts w:asciiTheme="majorHAnsi" w:hAnsiTheme="majorHAnsi"/>
            <w:sz w:val="24"/>
            <w:szCs w:val="24"/>
          </w:rPr>
          <w:t>https://eumis2020.government.bg</w:t>
        </w:r>
      </w:hyperlink>
      <w:r w:rsidRPr="00AE5CD3">
        <w:rPr>
          <w:rFonts w:asciiTheme="majorHAnsi" w:hAnsiTheme="majorHAnsi"/>
          <w:sz w:val="24"/>
          <w:szCs w:val="24"/>
        </w:rPr>
        <w:t>. Подаване на проектно предложение на хартиен носител е НЕПРИЛОЖИМО.</w:t>
      </w:r>
    </w:p>
    <w:p w:rsidR="005A1B22" w:rsidRPr="00AE5CD3" w:rsidRDefault="005A1B22" w:rsidP="008119B6">
      <w:pPr>
        <w:pStyle w:val="20"/>
        <w:spacing w:before="0" w:line="240" w:lineRule="auto"/>
        <w:rPr>
          <w:rFonts w:asciiTheme="majorHAnsi" w:hAnsiTheme="majorHAnsi"/>
          <w:sz w:val="28"/>
          <w:szCs w:val="28"/>
        </w:rPr>
      </w:pPr>
      <w:bookmarkStart w:id="152" w:name="_Toc476823169"/>
    </w:p>
    <w:p w:rsidR="005A1B22" w:rsidRPr="00AE5CD3" w:rsidRDefault="005A1B22" w:rsidP="008119B6">
      <w:pPr>
        <w:pStyle w:val="20"/>
        <w:spacing w:before="0" w:line="240" w:lineRule="auto"/>
        <w:rPr>
          <w:rFonts w:asciiTheme="majorHAnsi" w:hAnsiTheme="majorHAnsi"/>
        </w:rPr>
      </w:pPr>
      <w:bookmarkStart w:id="153" w:name="_Toc514333726"/>
      <w:bookmarkStart w:id="154" w:name="_Toc514334566"/>
      <w:bookmarkStart w:id="155" w:name="_Toc514334658"/>
      <w:r w:rsidRPr="00AE5CD3">
        <w:rPr>
          <w:rFonts w:asciiTheme="majorHAnsi" w:hAnsiTheme="majorHAnsi"/>
        </w:rPr>
        <w:t>27. Допълнителна информация</w:t>
      </w:r>
      <w:bookmarkEnd w:id="152"/>
      <w:bookmarkEnd w:id="153"/>
      <w:bookmarkEnd w:id="154"/>
      <w:bookmarkEnd w:id="155"/>
    </w:p>
    <w:p w:rsidR="005A1B22" w:rsidRPr="00AE5CD3" w:rsidRDefault="005A1B22" w:rsidP="008119B6">
      <w:pPr>
        <w:pStyle w:val="30"/>
        <w:spacing w:before="0" w:line="240" w:lineRule="auto"/>
        <w:rPr>
          <w:rFonts w:asciiTheme="majorHAnsi" w:hAnsiTheme="majorHAnsi"/>
          <w:sz w:val="26"/>
          <w:szCs w:val="26"/>
        </w:rPr>
      </w:pPr>
      <w:bookmarkStart w:id="156" w:name="_Toc476823170"/>
      <w:bookmarkStart w:id="157" w:name="_Toc514333727"/>
      <w:bookmarkStart w:id="158" w:name="_Toc514334567"/>
      <w:bookmarkStart w:id="159" w:name="_Toc514334659"/>
      <w:r w:rsidRPr="00AE5CD3">
        <w:rPr>
          <w:rFonts w:asciiTheme="majorHAnsi" w:hAnsiTheme="majorHAnsi"/>
          <w:sz w:val="26"/>
          <w:szCs w:val="26"/>
        </w:rPr>
        <w:t xml:space="preserve">27.1. Процедура за уведомяване на неуспелите и одобрените кандидати </w:t>
      </w:r>
      <w:bookmarkEnd w:id="156"/>
      <w:bookmarkEnd w:id="157"/>
      <w:bookmarkEnd w:id="158"/>
      <w:bookmarkEnd w:id="159"/>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olor w:val="000000"/>
        </w:rPr>
      </w:pPr>
      <w:bookmarkStart w:id="160" w:name="_Toc476823171"/>
      <w:r w:rsidRPr="00AE5CD3">
        <w:rPr>
          <w:rFonts w:asciiTheme="majorHAnsi" w:hAnsiTheme="majorHAnsi"/>
          <w:color w:val="000000"/>
        </w:rPr>
        <w:t>Комисията за подбор на проектни предложения се назначава от МИГ и извършва оценка на всички постъпили проекти в срок до 30 работни дни от изтичане на крайния срок на приема.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Работата на Комисията за подбор приключва с оценителен доклад до ръководителя на Управляващия орган. Оценителният доклад се генерира в ИСУН 2020. Оценителният доклад се подписва от председателя, секретаря  и от всички членове на комисията. Оценителният доклад се одобрява от УС на МИГ. МИГ прикачва в ИСУН 2020 всички документи, свързани с процеса на оценка (вкл. и доклада) и уведомява</w:t>
      </w:r>
      <w:r w:rsidR="00C66A6A">
        <w:rPr>
          <w:rFonts w:asciiTheme="majorHAnsi" w:hAnsiTheme="majorHAnsi"/>
        </w:rPr>
        <w:t xml:space="preserve"> Ръководителя на</w:t>
      </w:r>
      <w:r w:rsidRPr="00AE5CD3">
        <w:rPr>
          <w:rFonts w:asciiTheme="majorHAnsi" w:hAnsiTheme="majorHAnsi"/>
        </w:rPr>
        <w:t xml:space="preserve"> УО за това</w:t>
      </w:r>
      <w:r w:rsidR="00E0252D">
        <w:rPr>
          <w:rFonts w:asciiTheme="majorHAnsi" w:hAnsiTheme="majorHAnsi"/>
        </w:rPr>
        <w:t xml:space="preserve"> </w:t>
      </w:r>
      <w:r w:rsidR="00506AFF">
        <w:rPr>
          <w:rFonts w:asciiTheme="majorHAnsi" w:hAnsiTheme="majorHAnsi"/>
        </w:rPr>
        <w:t>по</w:t>
      </w:r>
      <w:r w:rsidR="00C66A6A">
        <w:rPr>
          <w:rFonts w:asciiTheme="majorHAnsi" w:hAnsiTheme="majorHAnsi"/>
        </w:rPr>
        <w:t xml:space="preserve"> служебната</w:t>
      </w:r>
      <w:r w:rsidR="00506AFF">
        <w:rPr>
          <w:rFonts w:asciiTheme="majorHAnsi" w:hAnsiTheme="majorHAnsi"/>
        </w:rPr>
        <w:t xml:space="preserve"> електронна поща</w:t>
      </w:r>
      <w:r w:rsidR="00F0062D">
        <w:rPr>
          <w:rFonts w:asciiTheme="majorHAnsi" w:hAnsiTheme="majorHAnsi"/>
        </w:rPr>
        <w:t>:</w:t>
      </w:r>
      <w:r w:rsidR="001B5E1E">
        <w:rPr>
          <w:rFonts w:asciiTheme="majorHAnsi" w:hAnsiTheme="majorHAnsi"/>
        </w:rPr>
        <w:t xml:space="preserve"> </w:t>
      </w:r>
      <w:hyperlink r:id="rId22" w:history="1">
        <w:r w:rsidR="001B5E1E" w:rsidRPr="00867E8F">
          <w:rPr>
            <w:rStyle w:val="af3"/>
            <w:rFonts w:asciiTheme="majorHAnsi" w:hAnsiTheme="majorHAnsi"/>
          </w:rPr>
          <w:t>e-docs@mi.government.bg</w:t>
        </w:r>
      </w:hyperlink>
      <w:r w:rsidR="001B5E1E">
        <w:rPr>
          <w:rFonts w:asciiTheme="majorHAnsi" w:hAnsiTheme="majorHAnsi"/>
        </w:rPr>
        <w:t xml:space="preserve"> </w:t>
      </w:r>
      <w:r w:rsidRPr="00AE5CD3">
        <w:rPr>
          <w:rFonts w:asciiTheme="majorHAnsi" w:hAnsiTheme="majorHAnsi"/>
        </w:rPr>
        <w:t>.</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Оценителният доклад включва: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 xml:space="preserve">1.копие на заповедта за назначаване на комисията и на заповедите за изменението й, ако има такива; декларации за липса на конфликт на интереси и поверителност, подписани от председателя, секретаря/секретарите, всички членове на Комисията с право на глас, помощник-оценителите и наблюдателите; </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 xml:space="preserve">2. разясненията, които са предоставяни на кандидатите преди представянето на проектните предложения; </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3. кореспонденцията, водена с кандидатите по време на оценителния процес ;</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4. кореспонденция с компетентните органи/институции (ако има такава);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5. протоколи от отделните етапи на оценката, подписани от участвалите в съответния етап на оценка лица;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6. други документи, ако е приложимо.</w:t>
      </w:r>
    </w:p>
    <w:p w:rsidR="005A1B22" w:rsidRPr="00AE5CD3" w:rsidRDefault="00CB76D1"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Pr>
          <w:rFonts w:asciiTheme="majorHAnsi" w:hAnsiTheme="majorHAnsi"/>
        </w:rPr>
        <w:t xml:space="preserve">          </w:t>
      </w:r>
      <w:r w:rsidR="005A1B22" w:rsidRPr="00AE5CD3">
        <w:rPr>
          <w:rFonts w:asciiTheme="majorHAnsi" w:hAnsiTheme="majorHAnsi"/>
        </w:rPr>
        <w:t>Към оценителния доклад се прилагат:</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1. списък на предложените за финансиране проектни предложения, подредени по реда на тяхното класиране и размера на безвъзмездната финансова помощ, която да бъде предоставена за всеки от тях;</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2.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3. списък на предложените за отхвърляне проектни предложения и основанието за отхвърлянето им.</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4. списък на оттеглените по време на оценката проектни предложения.</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lastRenderedPageBreak/>
        <w:t xml:space="preserve">Ръководителят на Управляващия орган взима решение за предоставяне на безвъзмездна финансова помощ </w:t>
      </w:r>
      <w:r w:rsidR="001B5E1E">
        <w:rPr>
          <w:rFonts w:asciiTheme="majorHAnsi" w:hAnsiTheme="majorHAnsi"/>
        </w:rPr>
        <w:t>по</w:t>
      </w:r>
      <w:r w:rsidR="001B5E1E" w:rsidRPr="00AE5CD3">
        <w:rPr>
          <w:rFonts w:asciiTheme="majorHAnsi" w:hAnsiTheme="majorHAnsi"/>
        </w:rPr>
        <w:t xml:space="preserve"> всяко</w:t>
      </w:r>
      <w:r w:rsidRPr="00AE5CD3">
        <w:rPr>
          <w:rFonts w:asciiTheme="majorHAnsi" w:hAnsiTheme="majorHAnsi"/>
        </w:rPr>
        <w:t xml:space="preserve"> проектно предложение. Решението на Ръководителя на Управляващия орган да предостави безвъзмездна финансова помощ се обективира в административен договор с всеки отделен бенефициент.</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МИГ изпраща Уведомително писмо до кандидатите, чието проектно предложение не е одобрено или че е частично одобрено в срок до 5 работни дни от одобряването на оценителния доклад от Управителния съвет на МИГ. Уведомяването на не успелите и одобрените кандидати за сключване на административни договори за безвъзмездна финансова помощ се извършва само и единствено чрез ИСУН.</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b/>
        </w:rPr>
      </w:pPr>
      <w:r w:rsidRPr="00AE5CD3">
        <w:rPr>
          <w:rFonts w:asciiTheme="majorHAnsi" w:hAnsiTheme="majorHAnsi"/>
        </w:rPr>
        <w:t xml:space="preserve">Всеки кандидат, получил уведомително писмо, има право да възрази писмено пред Ръководителя на УО на ОПИК в срок до 3 работни дни от датата на получаването на уведомлението. </w:t>
      </w:r>
      <w:r w:rsidR="009B6EFA" w:rsidRPr="009B6EFA">
        <w:rPr>
          <w:rFonts w:asciiTheme="majorHAnsi" w:hAnsiTheme="majorHAnsi"/>
        </w:rPr>
        <w:t>Уведомителното писмо от Комисията за подбор на проекти се изпраща чрез модул "Комуникация" в ИСУН 2020. В съобщението се посочват срокът и начинът за възражение, вкл. посредством И</w:t>
      </w:r>
      <w:r w:rsidR="00B0606C">
        <w:rPr>
          <w:rFonts w:asciiTheme="majorHAnsi" w:hAnsiTheme="majorHAnsi"/>
        </w:rPr>
        <w:t>СУН 2020, пред Ръководителя на У</w:t>
      </w:r>
      <w:r w:rsidR="009B6EFA" w:rsidRPr="009B6EFA">
        <w:rPr>
          <w:rFonts w:asciiTheme="majorHAnsi" w:hAnsiTheme="majorHAnsi"/>
        </w:rPr>
        <w:t xml:space="preserve">правляващия орган. </w:t>
      </w:r>
      <w:r w:rsidRPr="00AE5CD3">
        <w:rPr>
          <w:rFonts w:asciiTheme="majorHAnsi" w:hAnsiTheme="majorHAnsi"/>
        </w:rPr>
        <w:t>Ръководителят на УО се произнася по основателността на възражението в срок до 10 работни дни от неговото получаване, като:</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1. връща проектното предложение за повторно извършване на процедурата по оценка;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2. потвърждава предварителното решение на МИГ.</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b/>
        </w:rPr>
      </w:pPr>
      <w:r w:rsidRPr="00AE5CD3">
        <w:rPr>
          <w:rFonts w:asciiTheme="majorHAnsi" w:hAnsiTheme="majorHAnsi"/>
          <w:b/>
        </w:rPr>
        <w:t>ВАЖНО: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УО на ОПИК може да изиска допълнителни относими документи към Списъка на документите, които се представят на етап договаряне на основа на приложимото законодателство и в съответствие с избраните за финансиране мерки/операции в стратегията за местно развитие, когато е приложимо.</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i/>
          <w:u w:val="single"/>
        </w:rPr>
      </w:pPr>
      <w:r w:rsidRPr="00AE5CD3">
        <w:rPr>
          <w:rFonts w:asciiTheme="majorHAnsi" w:hAnsiTheme="majorHAnsi"/>
          <w:i/>
          <w:u w:val="single"/>
        </w:rPr>
        <w:t>Списък на документите, които се представят на етап договаряне и са част от документацията по чл. 26, ал. 1 на ЗУСЕСИФ:</w:t>
      </w:r>
    </w:p>
    <w:p w:rsidR="005A1B22" w:rsidRPr="00AE5CD3" w:rsidRDefault="00E534E6"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b/>
          <w:bCs/>
        </w:rPr>
        <w:t xml:space="preserve">1. </w:t>
      </w:r>
      <w:r w:rsidRPr="00AE5CD3">
        <w:rPr>
          <w:rFonts w:asciiTheme="majorHAnsi" w:hAnsiTheme="majorHAnsi"/>
        </w:rPr>
        <w:t xml:space="preserve">Удостоверение от Националната агенция за приходите за липса на задължения на кандидата (издадено не по-рано от 6 месеца преди датата на представянето му) – оригинал или копие, заверено от кандидата  </w:t>
      </w:r>
      <w:r w:rsidR="00F567A9" w:rsidRPr="00AE5CD3">
        <w:rPr>
          <w:rFonts w:asciiTheme="majorHAnsi" w:hAnsiTheme="majorHAnsi"/>
          <w:b/>
        </w:rPr>
        <w:t>и</w:t>
      </w:r>
      <w:r w:rsidR="005A1B22" w:rsidRPr="00AE5CD3">
        <w:rPr>
          <w:rFonts w:asciiTheme="majorHAnsi" w:hAnsiTheme="majorHAnsi"/>
          <w:b/>
        </w:rPr>
        <w:t>ли</w:t>
      </w:r>
      <w:r w:rsidR="000A2414">
        <w:rPr>
          <w:rFonts w:asciiTheme="majorHAnsi" w:hAnsiTheme="majorHAnsi"/>
          <w:b/>
        </w:rPr>
        <w:t xml:space="preserve"> </w:t>
      </w:r>
      <w:r w:rsidR="005A1B22" w:rsidRPr="00AE5CD3">
        <w:rPr>
          <w:rFonts w:asciiTheme="majorHAnsi" w:hAnsiTheme="majorHAnsi"/>
        </w:rPr>
        <w:t xml:space="preserve">Удостоверение от НАП за </w:t>
      </w:r>
      <w:r w:rsidR="00945D78">
        <w:rPr>
          <w:rFonts w:asciiTheme="majorHAnsi" w:hAnsiTheme="majorHAnsi"/>
        </w:rPr>
        <w:t>липса</w:t>
      </w:r>
      <w:r w:rsidR="005A1B22" w:rsidRPr="00AE5CD3">
        <w:rPr>
          <w:rFonts w:asciiTheme="majorHAnsi" w:hAnsiTheme="majorHAnsi"/>
        </w:rPr>
        <w:t xml:space="preserve"> на задължение на кандидата, от което да е видно, че размерът на неплатените задължения е не повече от 1 на сто от сумата на годишния общ оборот на пре</w:t>
      </w:r>
      <w:r w:rsidR="001B5E1E">
        <w:rPr>
          <w:rFonts w:asciiTheme="majorHAnsi" w:hAnsiTheme="majorHAnsi"/>
        </w:rPr>
        <w:t>д</w:t>
      </w:r>
      <w:r w:rsidR="005A1B22" w:rsidRPr="00AE5CD3">
        <w:rPr>
          <w:rFonts w:asciiTheme="majorHAnsi" w:hAnsiTheme="majorHAnsi"/>
        </w:rPr>
        <w:t xml:space="preserve">приятието-кандидат за последната приключила финансова година – оригинал </w:t>
      </w:r>
      <w:r w:rsidRPr="00AE5CD3">
        <w:rPr>
          <w:rFonts w:asciiTheme="majorHAnsi" w:hAnsiTheme="majorHAnsi"/>
        </w:rPr>
        <w:t xml:space="preserve">или копие, заверено от кандидата, </w:t>
      </w:r>
      <w:r w:rsidRPr="00AE5CD3">
        <w:rPr>
          <w:rFonts w:asciiTheme="majorHAnsi" w:hAnsiTheme="majorHAnsi"/>
          <w:b/>
        </w:rPr>
        <w:t>и</w:t>
      </w:r>
      <w:r w:rsidR="005A1B22" w:rsidRPr="00AE5CD3">
        <w:rPr>
          <w:rFonts w:asciiTheme="majorHAnsi" w:hAnsiTheme="majorHAnsi"/>
          <w:b/>
        </w:rPr>
        <w:t>ли</w:t>
      </w:r>
      <w:r w:rsidR="000A2414">
        <w:rPr>
          <w:rFonts w:asciiTheme="majorHAnsi" w:hAnsiTheme="majorHAnsi"/>
          <w:b/>
        </w:rPr>
        <w:t xml:space="preserve"> </w:t>
      </w:r>
      <w:r w:rsidR="005A1B22" w:rsidRPr="00AE5CD3">
        <w:rPr>
          <w:rFonts w:asciiTheme="majorHAnsi" w:hAnsiTheme="majorHAnsi"/>
        </w:rPr>
        <w:t>Споразумение с НАП, от което да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5A1B22"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ВАЖНО: Кандидатът следва да предостави един от документите по т.1 единствено в случаите, когато в резултат на извършена служебна проверка от страна на екипа по договаряне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w:t>
      </w:r>
      <w:r w:rsidR="001B5E1E">
        <w:rPr>
          <w:rFonts w:asciiTheme="majorHAnsi" w:hAnsiTheme="majorHAnsi"/>
        </w:rPr>
        <w:t xml:space="preserve"> 25, ал. 2 от ЗУСЕСИФ и чл. 7 от</w:t>
      </w:r>
      <w:r w:rsidRPr="00AE5CD3">
        <w:rPr>
          <w:rFonts w:asciiTheme="majorHAnsi" w:hAnsiTheme="majorHAnsi"/>
        </w:rPr>
        <w:t xml:space="preserve"> ПМС 162/2026 г. (за наличие на публични задължения по смисъла на чл. 162, ал. 2, т. 1 от ДОПК) и на Декларация, че кандидатът е запознат с условията за кандидатстване и условията за изпълнение (за наличие на публични задължения по смисъла на чл. 162, ал. 2, т. 8 от ДОПК).</w:t>
      </w:r>
    </w:p>
    <w:p w:rsidR="00AB6812" w:rsidRPr="00AE5CD3" w:rsidRDefault="00AB681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p>
    <w:p w:rsidR="005A1B22"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2. Удостоверение за липса на задължения към община по седалище на кандидата</w:t>
      </w:r>
      <w:r w:rsidR="001B5E1E">
        <w:rPr>
          <w:rFonts w:asciiTheme="majorHAnsi" w:hAnsiTheme="majorHAnsi"/>
        </w:rPr>
        <w:t xml:space="preserve"> </w:t>
      </w:r>
      <w:r w:rsidR="00A01B41" w:rsidRPr="00A01B41">
        <w:rPr>
          <w:rFonts w:asciiTheme="majorHAnsi" w:hAnsiTheme="majorHAnsi"/>
        </w:rPr>
        <w:t xml:space="preserve">и по седалище на УО (Столична община)  </w:t>
      </w:r>
      <w:r w:rsidR="00A01B41">
        <w:rPr>
          <w:rFonts w:asciiTheme="majorHAnsi" w:hAnsiTheme="majorHAnsi"/>
        </w:rPr>
        <w:t xml:space="preserve">- </w:t>
      </w:r>
      <w:r w:rsidRPr="00AE5CD3">
        <w:rPr>
          <w:rFonts w:asciiTheme="majorHAnsi" w:hAnsiTheme="majorHAnsi"/>
        </w:rPr>
        <w:t>(издадено не по-рано от 6 месеца преди датата на представянето му) – оригинал или копие, заверено от кандидата.</w:t>
      </w:r>
    </w:p>
    <w:p w:rsidR="00131E1B" w:rsidRPr="00131E1B" w:rsidRDefault="00131E1B" w:rsidP="00131E1B">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131E1B">
        <w:rPr>
          <w:rFonts w:asciiTheme="majorHAnsi" w:hAnsiTheme="majorHAnsi"/>
        </w:rPr>
        <w:t xml:space="preserve">ВАЖНО: Управляващият орган ще извършва проверка по служебен път за наличие на задължения към общината по седалище на УО (Столична община) В случаите, когато в рамките на служебната проверка бъде установено наличието на задължение, кандидатите ще бъдат </w:t>
      </w:r>
      <w:r w:rsidRPr="00131E1B">
        <w:rPr>
          <w:rFonts w:asciiTheme="majorHAnsi" w:hAnsiTheme="majorHAnsi"/>
        </w:rPr>
        <w:lastRenderedPageBreak/>
        <w:t>уведомени за това. За да удостоверят погасяването на задължението, кандидатите следва да представят Удостоверение за липса на задължения и към Столична община.</w:t>
      </w:r>
    </w:p>
    <w:p w:rsidR="00131E1B" w:rsidRPr="00131E1B" w:rsidRDefault="00131E1B" w:rsidP="00131E1B">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131E1B">
        <w:rPr>
          <w:rFonts w:asciiTheme="majorHAnsi" w:hAnsiTheme="majorHAnsi"/>
        </w:rPr>
        <w:t>От Удостоверенията по букви т. 1 и т. 2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rsidR="00131E1B" w:rsidRPr="00AE5CD3" w:rsidRDefault="00131E1B" w:rsidP="00131E1B">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131E1B">
        <w:rPr>
          <w:rFonts w:asciiTheme="majorHAnsi" w:hAnsiTheme="majorHAnsi"/>
        </w:rPr>
        <w:t>Кандидат, който видно от Удостоверенията по букви т. 1 и т. 2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3. Свидетелство за съдимост на лицата, представляващи кандидата и вписани в Търговския регистър</w:t>
      </w:r>
      <w:r w:rsidR="00AB140C">
        <w:rPr>
          <w:rFonts w:asciiTheme="majorHAnsi" w:hAnsiTheme="majorHAnsi"/>
        </w:rPr>
        <w:t xml:space="preserve"> </w:t>
      </w:r>
      <w:r w:rsidR="002977D5">
        <w:rPr>
          <w:rFonts w:asciiTheme="majorHAnsi" w:hAnsiTheme="majorHAnsi"/>
        </w:rPr>
        <w:t>и регистъра на ЮЛНЦ</w:t>
      </w:r>
      <w:r w:rsidRPr="00AE5CD3">
        <w:rPr>
          <w:rFonts w:asciiTheme="majorHAnsi" w:hAnsiTheme="majorHAnsi"/>
        </w:rPr>
        <w:t>, или определени като такива в учредителния акт, когато обстоятелството не подлежи на вписване, издадено не по-рано от 6 месеца преди датата на представянето му - оригинал или копие, заверено от кандидата.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b/>
        </w:rPr>
        <w:t>ВАЖНО:</w:t>
      </w:r>
      <w:r w:rsidRPr="00AE5CD3">
        <w:rPr>
          <w:rFonts w:asciiTheme="majorHAnsi" w:hAnsiTheme="majorHAnsi"/>
        </w:rPr>
        <w:t xml:space="preserve"> При условие че горепосочените лица са родени в България, не са осъждани и не им е наложено административно наказание, Управляващият орган ще извършва служебна проверка за тях. В този случай не е необходимо представянето на Свидетелство за съдимост на оправомощените да представляват кандидата лица.</w:t>
      </w:r>
    </w:p>
    <w:p w:rsidR="005A1B22"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rsidR="00AB6812" w:rsidRPr="00AE5CD3" w:rsidRDefault="00AB681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p>
    <w:p w:rsidR="005A1B22"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 xml:space="preserve">4. Нотариално заверено пълномощно, в случаите, когато Административният договор за безвъзмездна финансова помощ ще бъде подписан от лице, различно от законния/ите представител/и на кандидата съгласно вписванията в Търговския регистър </w:t>
      </w:r>
      <w:r w:rsidR="000C2206">
        <w:rPr>
          <w:rFonts w:asciiTheme="majorHAnsi" w:hAnsiTheme="majorHAnsi"/>
        </w:rPr>
        <w:t>и регистър</w:t>
      </w:r>
      <w:r w:rsidR="008C4808">
        <w:rPr>
          <w:rFonts w:asciiTheme="majorHAnsi" w:hAnsiTheme="majorHAnsi"/>
        </w:rPr>
        <w:t>а</w:t>
      </w:r>
      <w:r w:rsidR="000C2206">
        <w:rPr>
          <w:rFonts w:asciiTheme="majorHAnsi" w:hAnsiTheme="majorHAnsi"/>
        </w:rPr>
        <w:t xml:space="preserve"> на ЮНЛЦ </w:t>
      </w:r>
      <w:r w:rsidRPr="00AE5CD3">
        <w:rPr>
          <w:rFonts w:asciiTheme="majorHAnsi" w:hAnsiTheme="majorHAnsi"/>
        </w:rPr>
        <w:t>– оригинал</w:t>
      </w:r>
      <w:r w:rsidR="000C2206">
        <w:rPr>
          <w:rFonts w:asciiTheme="majorHAnsi" w:hAnsiTheme="majorHAnsi"/>
        </w:rPr>
        <w:t xml:space="preserve">. </w:t>
      </w:r>
    </w:p>
    <w:p w:rsidR="000C2206" w:rsidRPr="00AE5CD3" w:rsidRDefault="000C2206"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p>
    <w:p w:rsidR="005A1B22"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5. Заявление за профил за достъп на ръководител на бенефициента до ИСУН 2020 (Приложение Ф към Условията за изпълнение) и/или Заявление за профил за достъп на упълномощени от бенефициента лица до ИСУН 2020 (Приложение С към Условията за изпълнение) – подписано от лице с право да представлява кандидата. В случаите, когато бенефициентът се представлява заедно от няколко физически лица, заявлението се попълва и подписва от всички от тях.</w:t>
      </w:r>
    </w:p>
    <w:p w:rsidR="00EA4F8C" w:rsidRPr="00AE5CD3" w:rsidRDefault="00EA4F8C"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rPr>
      </w:pPr>
      <w:r w:rsidRPr="00AE5CD3">
        <w:rPr>
          <w:rFonts w:asciiTheme="majorHAnsi" w:hAnsiTheme="majorHAnsi"/>
        </w:rPr>
        <w:t>6. Удостоверение, издадено от органите на Изпълнителна агенция "Главна инспекция по труда" във връзка с обстоятелствата по чл. 54, ал. 1, т. 6 от ЗОП.</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rPr>
      </w:pPr>
      <w:r w:rsidRPr="00AE5CD3">
        <w:rPr>
          <w:rFonts w:asciiTheme="majorHAnsi" w:hAnsiTheme="majorHAnsi"/>
        </w:rPr>
        <w:t>По отношение на издаваните от  ораните на Изпълнителна агенция „Главна инспекция по труда“ документи, във връзка с чл. 54, ал. 1, т. 6 от ЗОП, Управляващият орган ще изисква тази информация по служебен път за всеки от предложените за финансиране кандидати.</w:t>
      </w:r>
    </w:p>
    <w:p w:rsidR="005A1B22"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rPr>
      </w:pPr>
      <w:r w:rsidRPr="00AE5CD3">
        <w:rPr>
          <w:rFonts w:asciiTheme="majorHAnsi" w:hAnsiTheme="majorHAnsi"/>
          <w:b/>
        </w:rPr>
        <w:t>ВАЖНО:</w:t>
      </w:r>
      <w:r w:rsidRPr="00AE5CD3">
        <w:rPr>
          <w:rFonts w:asciiTheme="majorHAnsi" w:hAnsiTheme="majorHAnsi"/>
        </w:rPr>
        <w:t xml:space="preserve"> В случай, че се установят нарушения във връзка с обстоятелствата по чл. 54, ал. 1, т. 6 от ЗОП и същите са отстраними, до кандидата ще бъде изпратено писмо със съответните указания за отстраняването на констатираните нарушения.</w:t>
      </w:r>
    </w:p>
    <w:p w:rsidR="00EA4F8C" w:rsidRPr="00AE5CD3" w:rsidRDefault="00EA4F8C"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rPr>
      </w:pP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7. За документална проверка на декларираната категория предприятие при сключване на административните договори за предоставяне на безвъзмездна финансова помощ одобрените кандидати следва да представят в горепосочения срок, указан от Управляващия орган и:</w:t>
      </w:r>
    </w:p>
    <w:p w:rsidR="005A1B22"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а/ Справка за обобщените параметри на предприятието, което подава Декларация за обстоятелствата по чл. 3 и чл. 4 на ЗМСП – не се изисква за независими предприятия по смисъла на чл. 4, ал. 2 и ал. 4 от ЗМСП.</w:t>
      </w:r>
      <w:r w:rsidR="00525B20" w:rsidRPr="00525B20">
        <w:rPr>
          <w:rFonts w:asciiTheme="majorHAnsi" w:hAnsiTheme="majorHAnsi"/>
        </w:rPr>
        <w:t xml:space="preserve">Справките следва да бъдат изготвени въз основа на данните на предприятието за последните две приключени </w:t>
      </w:r>
      <w:r w:rsidR="00AD2AE7">
        <w:rPr>
          <w:rFonts w:asciiTheme="majorHAnsi" w:hAnsiTheme="majorHAnsi"/>
        </w:rPr>
        <w:t>бюджетни</w:t>
      </w:r>
      <w:r w:rsidR="00525B20" w:rsidRPr="00525B20">
        <w:rPr>
          <w:rFonts w:asciiTheme="majorHAnsi" w:hAnsiTheme="majorHAnsi"/>
        </w:rPr>
        <w:t xml:space="preserve"> години към датата на представяне. В случай че данните за последните две приключени </w:t>
      </w:r>
      <w:r w:rsidR="00AD2AE7">
        <w:rPr>
          <w:rFonts w:asciiTheme="majorHAnsi" w:hAnsiTheme="majorHAnsi"/>
        </w:rPr>
        <w:t>бюджетни</w:t>
      </w:r>
      <w:r w:rsidR="00525B20" w:rsidRPr="00525B20">
        <w:rPr>
          <w:rFonts w:asciiTheme="majorHAnsi" w:hAnsiTheme="majorHAnsi"/>
        </w:rPr>
        <w:t xml:space="preserve"> години, към </w:t>
      </w:r>
      <w:r w:rsidR="00525B20" w:rsidRPr="00525B20">
        <w:rPr>
          <w:rFonts w:asciiTheme="majorHAnsi" w:hAnsiTheme="majorHAnsi"/>
        </w:rPr>
        <w:lastRenderedPageBreak/>
        <w:t xml:space="preserve">датата на представяне, не потвърждават статуса на малко или средно предприятие, се представят и справки за последните две последователни </w:t>
      </w:r>
      <w:r w:rsidR="00AD2AE7">
        <w:rPr>
          <w:rFonts w:asciiTheme="majorHAnsi" w:hAnsiTheme="majorHAnsi"/>
        </w:rPr>
        <w:t>бюджетни</w:t>
      </w:r>
      <w:r w:rsidR="00525B20" w:rsidRPr="00525B20">
        <w:rPr>
          <w:rFonts w:asciiTheme="majorHAnsi" w:hAnsiTheme="majorHAnsi"/>
        </w:rPr>
        <w:t xml:space="preserve"> години, в които предприятието запазва своите параметри по чл. 3 от Закона за малките и средните предприятия без промяна.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б/ Следните документи, относими и отразяващи разпределението на капитала за периода, за който се декларират данни в Декларацията за обстоятелствата по чл. 3 и чл. 4 от Закона за малките и средните предприятия:</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 Книга за акционерите - приложимо за акционерните дружества с поименни акции;</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 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 Книга за акционерите и устав - приложимо за командитните дружества с акции;</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 Устав - приложимо за кооперациите;</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 Справка за разпределение капитала на дружеството – приложимо за акционерните дружества.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 xml:space="preserve">Посочените документи се представят като копие, заверено от кандидата, в случай че не са оповестени в Търговския </w:t>
      </w:r>
      <w:r w:rsidR="00AB140C">
        <w:rPr>
          <w:rFonts w:asciiTheme="majorHAnsi" w:hAnsiTheme="majorHAnsi"/>
        </w:rPr>
        <w:t>регистър и регистъра на ЮЛНЦ</w:t>
      </w:r>
      <w:r w:rsidRPr="00AE5CD3">
        <w:rPr>
          <w:rFonts w:asciiTheme="majorHAnsi" w:hAnsiTheme="majorHAnsi"/>
        </w:rPr>
        <w:t xml:space="preserve">. В случай че посочените документи са оповестени в Търговския </w:t>
      </w:r>
      <w:r w:rsidR="00AB140C">
        <w:rPr>
          <w:rFonts w:asciiTheme="majorHAnsi" w:hAnsiTheme="majorHAnsi"/>
        </w:rPr>
        <w:t>регистър и регистъра на ЮЛНЦ</w:t>
      </w:r>
      <w:r w:rsidRPr="00AE5CD3">
        <w:rPr>
          <w:rFonts w:asciiTheme="majorHAnsi" w:hAnsiTheme="majorHAnsi"/>
        </w:rPr>
        <w:t xml:space="preserve">, същите ще се проверяват по служебен път съгласно чл. 23, ал. 6 от Закона за търговския </w:t>
      </w:r>
      <w:r w:rsidR="00AB140C">
        <w:rPr>
          <w:rFonts w:asciiTheme="majorHAnsi" w:hAnsiTheme="majorHAnsi"/>
        </w:rPr>
        <w:t>регистър и регистъра на ЮЛНЦ</w:t>
      </w:r>
      <w:r w:rsidRPr="00AE5CD3">
        <w:rPr>
          <w:rFonts w:asciiTheme="majorHAnsi" w:hAnsiTheme="majorHAnsi"/>
        </w:rPr>
        <w:t>.</w:t>
      </w:r>
    </w:p>
    <w:p w:rsidR="005A1B22"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rPr>
      </w:pPr>
      <w:r w:rsidRPr="00AE5CD3">
        <w:rPr>
          <w:rFonts w:asciiTheme="majorHAnsi" w:hAnsiTheme="majorHAnsi"/>
        </w:rPr>
        <w:t>в/ Отчет за приходите и разходите и Счетоводен баланс</w:t>
      </w:r>
      <w:r w:rsidRPr="00AE5CD3">
        <w:rPr>
          <w:rStyle w:val="ae"/>
          <w:rFonts w:asciiTheme="majorHAnsi" w:hAnsiTheme="majorHAnsi"/>
        </w:rPr>
        <w:footnoteReference w:id="35"/>
      </w:r>
      <w:r w:rsidRPr="00AE5CD3">
        <w:rPr>
          <w:rFonts w:asciiTheme="majorHAnsi" w:hAnsiTheme="majorHAnsi"/>
        </w:rPr>
        <w:t xml:space="preserve"> за последните две</w:t>
      </w:r>
      <w:r w:rsidRPr="00AE5CD3">
        <w:rPr>
          <w:rStyle w:val="ae"/>
          <w:rFonts w:asciiTheme="majorHAnsi" w:hAnsiTheme="majorHAnsi"/>
        </w:rPr>
        <w:footnoteReference w:id="36"/>
      </w:r>
      <w:r w:rsidRPr="00AE5CD3">
        <w:rPr>
          <w:rFonts w:asciiTheme="majorHAnsi" w:hAnsiTheme="majorHAnsi"/>
        </w:rPr>
        <w:t xml:space="preserve"> приключени </w:t>
      </w:r>
      <w:r w:rsidR="00AD2AE7">
        <w:rPr>
          <w:rFonts w:asciiTheme="majorHAnsi" w:hAnsiTheme="majorHAnsi"/>
        </w:rPr>
        <w:t>бюджетни</w:t>
      </w:r>
      <w:r w:rsidRPr="00AE5CD3">
        <w:rPr>
          <w:rFonts w:asciiTheme="majorHAnsi" w:hAnsiTheme="majorHAnsi"/>
        </w:rPr>
        <w:t xml:space="preserve"> години.</w:t>
      </w:r>
    </w:p>
    <w:p w:rsidR="00676569" w:rsidRDefault="005B60B3"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rPr>
      </w:pPr>
      <w:r w:rsidRPr="005B60B3">
        <w:rPr>
          <w:rFonts w:asciiTheme="majorHAnsi" w:hAnsiTheme="majorHAnsi"/>
        </w:rPr>
        <w:t>В случай че посочените документи са оповестени в Търговския регистър</w:t>
      </w:r>
      <w:r w:rsidR="000A2414">
        <w:rPr>
          <w:rFonts w:asciiTheme="majorHAnsi" w:hAnsiTheme="majorHAnsi"/>
        </w:rPr>
        <w:t xml:space="preserve"> и регистъра на ЮЛНЦ</w:t>
      </w:r>
      <w:r w:rsidRPr="005B60B3">
        <w:rPr>
          <w:rFonts w:asciiTheme="majorHAnsi" w:hAnsiTheme="majorHAnsi"/>
        </w:rPr>
        <w:t>, същите ще се проверяват по служебен път съгласно чл. 23, ал. 6 от Закона за търговския регистър</w:t>
      </w:r>
      <w:r w:rsidR="00676569" w:rsidRPr="00676569">
        <w:rPr>
          <w:rFonts w:asciiTheme="majorHAnsi" w:hAnsiTheme="majorHAnsi"/>
        </w:rPr>
        <w:t xml:space="preserve"> </w:t>
      </w:r>
      <w:r w:rsidR="00676569">
        <w:rPr>
          <w:rFonts w:asciiTheme="majorHAnsi" w:hAnsiTheme="majorHAnsi"/>
        </w:rPr>
        <w:t>и регистъра на ЮЛНЦ</w:t>
      </w:r>
      <w:r w:rsidRPr="005B60B3">
        <w:rPr>
          <w:rFonts w:asciiTheme="majorHAnsi" w:hAnsiTheme="majorHAnsi"/>
        </w:rPr>
        <w:t>.</w:t>
      </w:r>
      <w:r w:rsidR="00676569">
        <w:rPr>
          <w:rFonts w:asciiTheme="majorHAnsi" w:hAnsiTheme="majorHAnsi"/>
        </w:rPr>
        <w:t xml:space="preserve"> </w:t>
      </w:r>
    </w:p>
    <w:p w:rsidR="005A1B22"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rPr>
      </w:pPr>
      <w:r w:rsidRPr="00AE5CD3">
        <w:rPr>
          <w:rFonts w:asciiTheme="majorHAnsi" w:hAnsiTheme="majorHAnsi"/>
        </w:rPr>
        <w:t>г/ Отчет за заетите лица, средствата за работна заплата и други разходи за труд</w:t>
      </w:r>
      <w:r w:rsidRPr="00AE5CD3">
        <w:rPr>
          <w:rStyle w:val="ae"/>
          <w:rFonts w:asciiTheme="majorHAnsi" w:hAnsiTheme="majorHAnsi"/>
        </w:rPr>
        <w:footnoteReference w:id="37"/>
      </w:r>
      <w:r w:rsidRPr="00AE5CD3">
        <w:rPr>
          <w:rFonts w:asciiTheme="majorHAnsi" w:hAnsiTheme="majorHAnsi"/>
        </w:rPr>
        <w:t xml:space="preserve"> за последните две приключени </w:t>
      </w:r>
      <w:r w:rsidR="00AD2AE7">
        <w:rPr>
          <w:rFonts w:asciiTheme="majorHAnsi" w:hAnsiTheme="majorHAnsi"/>
        </w:rPr>
        <w:t>бюджетни</w:t>
      </w:r>
      <w:r w:rsidRPr="00AE5CD3">
        <w:rPr>
          <w:rFonts w:asciiTheme="majorHAnsi" w:hAnsiTheme="majorHAnsi"/>
        </w:rPr>
        <w:t xml:space="preserve"> години.</w:t>
      </w:r>
    </w:p>
    <w:p w:rsidR="00676569" w:rsidRDefault="005B60B3" w:rsidP="008119B6">
      <w:pPr>
        <w:pStyle w:val="aa"/>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heme="majorHAnsi" w:hAnsiTheme="majorHAnsi"/>
        </w:rPr>
      </w:pPr>
      <w:r w:rsidRPr="005B60B3">
        <w:rPr>
          <w:rFonts w:asciiTheme="majorHAnsi" w:hAnsiTheme="majorHAnsi"/>
        </w:rPr>
        <w:t>В случай че посочените документи са оповестени в Търговския регистър</w:t>
      </w:r>
      <w:r w:rsidR="00676569">
        <w:rPr>
          <w:rFonts w:asciiTheme="majorHAnsi" w:hAnsiTheme="majorHAnsi"/>
        </w:rPr>
        <w:t xml:space="preserve"> и регистъра на ЮЛНЦ</w:t>
      </w:r>
      <w:r w:rsidRPr="005B60B3">
        <w:rPr>
          <w:rFonts w:asciiTheme="majorHAnsi" w:hAnsiTheme="majorHAnsi"/>
        </w:rPr>
        <w:t>, същите ще се проверяват по служебен път съгласно чл. 23, ал. 6 от Закона за търговския регистър</w:t>
      </w:r>
      <w:r w:rsidR="00676569">
        <w:rPr>
          <w:rFonts w:asciiTheme="majorHAnsi" w:hAnsiTheme="majorHAnsi"/>
        </w:rPr>
        <w:t xml:space="preserve"> и регистъра на ЮЛНЦ</w:t>
      </w:r>
      <w:r w:rsidRPr="005B60B3">
        <w:rPr>
          <w:rFonts w:asciiTheme="majorHAnsi" w:hAnsiTheme="majorHAnsi"/>
        </w:rPr>
        <w:t>.</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heme="majorHAnsi" w:hAnsiTheme="majorHAnsi"/>
        </w:rPr>
      </w:pPr>
      <w:r w:rsidRPr="00AE5CD3">
        <w:rPr>
          <w:rFonts w:asciiTheme="majorHAnsi" w:hAnsiTheme="majorHAnsi"/>
          <w:b/>
        </w:rPr>
        <w:t>ВАЖНО:</w:t>
      </w:r>
      <w:r w:rsidRPr="00AE5CD3">
        <w:rPr>
          <w:rFonts w:asciiTheme="majorHAnsi" w:hAnsiTheme="majorHAnsi"/>
        </w:rPr>
        <w:t xml:space="preserve"> Управляващия</w:t>
      </w:r>
      <w:r w:rsidR="0048727F" w:rsidRPr="00AE5CD3">
        <w:rPr>
          <w:rFonts w:asciiTheme="majorHAnsi" w:hAnsiTheme="majorHAnsi"/>
        </w:rPr>
        <w:t>т</w:t>
      </w:r>
      <w:r w:rsidRPr="00AE5CD3">
        <w:rPr>
          <w:rFonts w:asciiTheme="majorHAnsi" w:hAnsiTheme="majorHAnsi"/>
        </w:rPr>
        <w:t xml:space="preserve"> орган може да извършва служебни проверки относно верността на данните в представените от кандидатите документи, включително чрез запитвания до НСИ и Националната агенция по приходите.</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heme="majorHAnsi" w:hAnsiTheme="majorHAnsi"/>
        </w:rPr>
      </w:pPr>
      <w:r w:rsidRPr="00AE5CD3">
        <w:rPr>
          <w:rFonts w:asciiTheme="majorHAnsi" w:hAnsiTheme="majorHAnsi"/>
        </w:rPr>
        <w:t>8. Декларация за нередности (</w:t>
      </w:r>
      <w:r w:rsidRPr="00AE5CD3">
        <w:rPr>
          <w:rFonts w:asciiTheme="majorHAnsi" w:hAnsiTheme="majorHAnsi"/>
          <w:b/>
        </w:rPr>
        <w:t>Приложение О</w:t>
      </w:r>
      <w:r w:rsidRPr="00AE5CD3">
        <w:rPr>
          <w:rFonts w:asciiTheme="majorHAnsi" w:hAnsiTheme="majorHAnsi"/>
        </w:rPr>
        <w:t xml:space="preserve"> Към Условия за изпълнение) – подписана от лице с право да представлява кандидата. В случаите, когато кандидатът се представлява заедно от няколко физически лица, декларацията се попълва и подписва от всички тях.</w:t>
      </w:r>
    </w:p>
    <w:p w:rsidR="005A1B22" w:rsidRDefault="005A1B22" w:rsidP="008119B6">
      <w:pPr>
        <w:pStyle w:val="aa"/>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heme="majorHAnsi" w:hAnsiTheme="majorHAnsi"/>
        </w:rPr>
      </w:pPr>
      <w:r w:rsidRPr="00AE5CD3">
        <w:rPr>
          <w:rFonts w:asciiTheme="majorHAnsi" w:hAnsiTheme="majorHAnsi"/>
        </w:rPr>
        <w:t>9. Декларация за съгласие данните на кандидата да бъдат представени от НСИ на УО по служебен път (</w:t>
      </w:r>
      <w:r w:rsidRPr="00AE5CD3">
        <w:rPr>
          <w:rFonts w:asciiTheme="majorHAnsi" w:hAnsiTheme="majorHAnsi"/>
          <w:b/>
        </w:rPr>
        <w:t>Приложение Л</w:t>
      </w:r>
      <w:r w:rsidRPr="00AE5CD3">
        <w:rPr>
          <w:rFonts w:asciiTheme="majorHAnsi" w:hAnsiTheme="majorHAnsi"/>
        </w:rPr>
        <w:t xml:space="preserve"> към Условията за изпълнение) – подписана от лице с право да представлява кандидата. В случаите, когато кандидатът се представлява заедно от няколко физически лица, декларацията се попълва и подписва от всички тях.</w:t>
      </w:r>
    </w:p>
    <w:p w:rsidR="00025E18" w:rsidRDefault="005A1B22">
      <w:pPr>
        <w:pStyle w:val="aa"/>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heme="majorHAnsi" w:hAnsiTheme="majorHAnsi"/>
        </w:rPr>
      </w:pPr>
      <w:r w:rsidRPr="00AE5CD3">
        <w:rPr>
          <w:rFonts w:asciiTheme="majorHAnsi" w:hAnsiTheme="majorHAnsi"/>
        </w:rPr>
        <w:t>В случай, че посочените документи са оповестени в Търговския регистър</w:t>
      </w:r>
      <w:r w:rsidR="00676569">
        <w:rPr>
          <w:rFonts w:asciiTheme="majorHAnsi" w:hAnsiTheme="majorHAnsi"/>
        </w:rPr>
        <w:t xml:space="preserve"> и регистъра на ЮЛНЦ</w:t>
      </w:r>
      <w:r w:rsidRPr="00AE5CD3">
        <w:rPr>
          <w:rFonts w:asciiTheme="majorHAnsi" w:hAnsiTheme="majorHAnsi"/>
        </w:rPr>
        <w:t xml:space="preserve"> и са в идентичен формат на този, в който са подадени към НСИ, това обстоятелство ще се </w:t>
      </w:r>
      <w:r w:rsidRPr="00AE5CD3">
        <w:rPr>
          <w:rFonts w:asciiTheme="majorHAnsi" w:hAnsiTheme="majorHAnsi"/>
        </w:rPr>
        <w:lastRenderedPageBreak/>
        <w:t xml:space="preserve">проверява по служебен път съгласно чл. 23, ал. 6 от Закона за търговския </w:t>
      </w:r>
      <w:r w:rsidR="00AB140C">
        <w:rPr>
          <w:rFonts w:asciiTheme="majorHAnsi" w:hAnsiTheme="majorHAnsi"/>
        </w:rPr>
        <w:t>регистър и регистъра на ЮЛНЦ</w:t>
      </w:r>
      <w:r w:rsidRPr="00AE5CD3">
        <w:rPr>
          <w:rFonts w:asciiTheme="majorHAnsi" w:hAnsiTheme="majorHAnsi"/>
        </w:rPr>
        <w:t>.</w:t>
      </w:r>
    </w:p>
    <w:p w:rsidR="0089030C" w:rsidRDefault="00CB4FB6" w:rsidP="0089030C">
      <w:pPr>
        <w:pStyle w:val="aa"/>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heme="majorHAnsi" w:hAnsiTheme="majorHAnsi"/>
        </w:rPr>
      </w:pPr>
      <w:r w:rsidRPr="00CB4FB6">
        <w:rPr>
          <w:rFonts w:asciiTheme="majorHAnsi" w:hAnsiTheme="majorHAnsi"/>
        </w:rPr>
        <w:t xml:space="preserve">10. Декларация по чл. 25, ал. 2 от Закона за управление на средствата от европейските структурни и инвестиционни фондове и чл. 7 от ПМС 162/2016 г., попълнена по образец (Приложение </w:t>
      </w:r>
      <w:r w:rsidR="00676569">
        <w:rPr>
          <w:rFonts w:asciiTheme="majorHAnsi" w:hAnsiTheme="majorHAnsi"/>
        </w:rPr>
        <w:t>Г</w:t>
      </w:r>
      <w:r w:rsidRPr="00CB4FB6">
        <w:rPr>
          <w:rFonts w:asciiTheme="majorHAnsi" w:hAnsiTheme="majorHAnsi"/>
        </w:rPr>
        <w:t xml:space="preserve"> към Условията за кандидатстване) и подписана от всички лица, оправомощени да представляват кандидата (независимо от това дали заедно и/или поотделно, и/или по друг начин).</w:t>
      </w:r>
    </w:p>
    <w:p w:rsidR="0089030C" w:rsidRDefault="0089030C" w:rsidP="0089030C">
      <w:pPr>
        <w:pStyle w:val="aa"/>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heme="majorHAnsi" w:hAnsiTheme="majorHAnsi"/>
        </w:rPr>
      </w:pPr>
      <w:r w:rsidRPr="0089030C">
        <w:rPr>
          <w:rFonts w:asciiTheme="majorHAnsi" w:hAnsiTheme="majorHAnsi"/>
        </w:rPr>
        <w:t xml:space="preserve">11. Декларация за минимални помощи, попълнена по образец (Приложение </w:t>
      </w:r>
      <w:r w:rsidR="00676569">
        <w:rPr>
          <w:rFonts w:asciiTheme="majorHAnsi" w:hAnsiTheme="majorHAnsi"/>
        </w:rPr>
        <w:t xml:space="preserve">Д </w:t>
      </w:r>
      <w:r w:rsidRPr="0089030C">
        <w:rPr>
          <w:rFonts w:asciiTheme="majorHAnsi" w:hAnsiTheme="majorHAnsi"/>
        </w:rPr>
        <w:t xml:space="preserve"> към Условията за кандидатстване), подписана от лице с право да представлява кандидата. В случаите, когато кандидатът се представлява заедно от няколко физически лица, декларацията се попълва и подписва от всички от тях.</w:t>
      </w:r>
    </w:p>
    <w:p w:rsidR="0089030C" w:rsidRPr="00AE5CD3" w:rsidRDefault="008A737B" w:rsidP="008119B6">
      <w:pPr>
        <w:pStyle w:val="aa"/>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heme="majorHAnsi" w:hAnsiTheme="majorHAnsi"/>
          <w:b/>
          <w:u w:val="single"/>
        </w:rPr>
      </w:pPr>
      <w:r w:rsidRPr="008A737B">
        <w:rPr>
          <w:rFonts w:asciiTheme="majorHAnsi" w:hAnsiTheme="majorHAnsi"/>
        </w:rPr>
        <w:t>12. Декларация за обстоятелствата по чл. 3 и чл. 4 от Закона за малките и средните предприятия, попълнена по образец (Приложение</w:t>
      </w:r>
      <w:r w:rsidR="00676569">
        <w:rPr>
          <w:rFonts w:asciiTheme="majorHAnsi" w:hAnsiTheme="majorHAnsi"/>
        </w:rPr>
        <w:t xml:space="preserve"> Е</w:t>
      </w:r>
      <w:r w:rsidRPr="008A737B">
        <w:rPr>
          <w:rFonts w:asciiTheme="majorHAnsi" w:hAnsiTheme="majorHAnsi"/>
        </w:rPr>
        <w:t xml:space="preserve"> към Условията за кандидатстване), подписана от лицето/ата законен/ни представляващ/и кандидата – подава се само в случай, че към крайната дата за представяне на изискуемите документи са настъпили промени в декларираните на етап кандидатстване обстоятелства или в законния/те представител/и на кандидата. В случаите, когато кандидатът се представлява заедно от няколко физически лица, декларацията се попълва и подписва от всички от тях.</w:t>
      </w:r>
    </w:p>
    <w:p w:rsidR="00962C1D" w:rsidRPr="00AE5CD3" w:rsidRDefault="00962C1D" w:rsidP="003F2254">
      <w:pPr>
        <w:pStyle w:val="30"/>
        <w:spacing w:before="0" w:line="240" w:lineRule="auto"/>
        <w:jc w:val="both"/>
        <w:rPr>
          <w:rFonts w:asciiTheme="majorHAnsi" w:hAnsiTheme="majorHAnsi"/>
          <w:sz w:val="26"/>
          <w:szCs w:val="26"/>
        </w:rPr>
      </w:pPr>
      <w:r w:rsidRPr="00AE5CD3">
        <w:rPr>
          <w:rFonts w:asciiTheme="majorHAnsi" w:hAnsiTheme="majorHAnsi"/>
          <w:sz w:val="26"/>
          <w:szCs w:val="26"/>
        </w:rPr>
        <w:t xml:space="preserve">27.2. Процедура за сключване на </w:t>
      </w:r>
      <w:r w:rsidR="003F2254" w:rsidRPr="00AE5CD3">
        <w:rPr>
          <w:rFonts w:asciiTheme="majorHAnsi" w:hAnsiTheme="majorHAnsi"/>
          <w:sz w:val="26"/>
          <w:szCs w:val="26"/>
        </w:rPr>
        <w:t>А</w:t>
      </w:r>
      <w:r w:rsidRPr="00AE5CD3">
        <w:rPr>
          <w:rFonts w:asciiTheme="majorHAnsi" w:hAnsiTheme="majorHAnsi"/>
          <w:sz w:val="26"/>
          <w:szCs w:val="26"/>
        </w:rPr>
        <w:t>дминистратив</w:t>
      </w:r>
      <w:r w:rsidR="003F2254" w:rsidRPr="00AE5CD3">
        <w:rPr>
          <w:rFonts w:asciiTheme="majorHAnsi" w:hAnsiTheme="majorHAnsi"/>
          <w:sz w:val="26"/>
          <w:szCs w:val="26"/>
        </w:rPr>
        <w:t xml:space="preserve">ен договор </w:t>
      </w:r>
      <w:r w:rsidRPr="00AE5CD3">
        <w:rPr>
          <w:rFonts w:asciiTheme="majorHAnsi" w:hAnsiTheme="majorHAnsi"/>
          <w:sz w:val="26"/>
          <w:szCs w:val="26"/>
        </w:rPr>
        <w:t>за безвъзмездна финансова помощ</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УО на ОПИК изпраща покана за сключване на Административен договор за предоставяне на безвъзмездна финансова помощ на одобрените за подпомагане кандидати. С поканата за сключване на Административен договор УО изисква всички описани документи в Списъка на документите, които се представят на етап договаряне. Срокът за представяне на документите за договаряне е 30 дни, считано от датата на получаване на поканата.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 xml:space="preserve">Преди сключване на Административен договор за предоставяне на безвъзмездна финансова помощ УО </w:t>
      </w:r>
      <w:r w:rsidR="003F2254" w:rsidRPr="00AE5CD3">
        <w:rPr>
          <w:rFonts w:asciiTheme="majorHAnsi" w:hAnsiTheme="majorHAnsi"/>
          <w:szCs w:val="24"/>
        </w:rPr>
        <w:t>н</w:t>
      </w:r>
      <w:r w:rsidRPr="00AE5CD3">
        <w:rPr>
          <w:rFonts w:asciiTheme="majorHAnsi" w:hAnsiTheme="majorHAnsi"/>
          <w:szCs w:val="24"/>
        </w:rPr>
        <w:t>а ОПИК извършва проверка на: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 съответствие на кандидатите с изискванията на чл. 25, ал. 2 от ЗУСЕСИФ на основа на представените документи;</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 обстоятелството дали кандидатът е регистриран по реда на Търговския закон или Закона за кооперациите;</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 декларираната от одобрените кандидати категория на малко или средно предприятие;</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 кандидатите за свързани предприятия, осъществяващи сходна дейност;</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 дейностите, предложени от потенциалните бенефициенти на помощта с цел избягване на двойно финансиране. За извършване на проверката се използва:</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а) информацията от извършена справка за двойно финансиране в ИСУН 2020;</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б) информацията, предоставена от кандидата в проектното предложение;</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в) при съмнение за непълна или невярна информация, предоставена от кандидата, се изпраща писмено искане до органа, сключил договор за финансиране на проект със същия кандидат относно предоставяне на допълнителна информация за характера на финансираните дейности;</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г) други способи, които по преценка на екипа по договаряне по процедурата са приложими за проверка за липса на двойно финансиране;</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 допустимост на минималната помощ;</w:t>
      </w: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 праговете за минимална помощ надхвърлят установените в акт на ЕС.</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Cs w:val="24"/>
        </w:rPr>
      </w:pPr>
      <w:r w:rsidRPr="00AE5CD3">
        <w:rPr>
          <w:rFonts w:asciiTheme="majorHAnsi" w:hAnsiTheme="majorHAnsi"/>
          <w:szCs w:val="24"/>
        </w:rPr>
        <w:t>След представяне на допълнителните разяснения и/или доказателства в рамките на допълнително указания срок, но не по-дълъг от регламентирания в ЗУСЕСИФ Управляващият орган преценява дали да бъде сключен Административен договор за безвъзмездна финансова помощ с кандидата или да бъде издадено мотивирано решение, с което се отказва предоставянето на безвъзмездна финансова помощ.</w:t>
      </w:r>
    </w:p>
    <w:p w:rsidR="005A1B22" w:rsidRPr="00AE5CD3" w:rsidRDefault="005A1B22" w:rsidP="008119B6">
      <w:pPr>
        <w:pStyle w:val="aa"/>
        <w:pBdr>
          <w:top w:val="single" w:sz="4" w:space="1" w:color="auto"/>
          <w:left w:val="single" w:sz="4" w:space="4" w:color="auto"/>
          <w:bottom w:val="single" w:sz="4" w:space="1" w:color="auto"/>
          <w:right w:val="single" w:sz="4" w:space="4" w:color="auto"/>
        </w:pBdr>
        <w:spacing w:after="0" w:line="240" w:lineRule="auto"/>
        <w:ind w:left="0"/>
        <w:jc w:val="both"/>
        <w:rPr>
          <w:rFonts w:asciiTheme="majorHAnsi" w:hAnsiTheme="majorHAnsi"/>
          <w:szCs w:val="24"/>
        </w:rPr>
      </w:pPr>
    </w:p>
    <w:p w:rsidR="005A1B22" w:rsidRPr="00AE5CD3" w:rsidRDefault="005A1B22" w:rsidP="008119B6">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Cs w:val="24"/>
        </w:rPr>
      </w:pPr>
      <w:r w:rsidRPr="00AE5CD3">
        <w:rPr>
          <w:rFonts w:asciiTheme="majorHAnsi" w:hAnsiTheme="majorHAnsi"/>
          <w:szCs w:val="24"/>
        </w:rPr>
        <w:t xml:space="preserve">Когато при извършване на проверката по същество на представените от кандидатите документи при договаряне се установи несъответствие между декларирани данни на етап </w:t>
      </w:r>
      <w:r w:rsidRPr="00AE5CD3">
        <w:rPr>
          <w:rFonts w:asciiTheme="majorHAnsi" w:hAnsiTheme="majorHAnsi"/>
          <w:szCs w:val="24"/>
        </w:rPr>
        <w:lastRenderedPageBreak/>
        <w:t>кандидатстване и информацията, посочена в представените документи ще бъде издадено Решение за отказ за предоставяне на безвъзмездна финансова помощ и не се сключва Административен договор с кандидатите. За договаряне ще бъдат поканени съответния брой кандидати от резервния списък (в случай че такъв е съставен), по поредността на класирането в съответната категория предприятие, до изчерпване на общия наличен бюджет по процедурата.</w:t>
      </w:r>
    </w:p>
    <w:p w:rsidR="005A1B22" w:rsidRPr="00AE5CD3" w:rsidRDefault="005A1B22" w:rsidP="003F2254">
      <w:pPr>
        <w:pBdr>
          <w:top w:val="single" w:sz="4" w:space="1" w:color="auto"/>
          <w:left w:val="single" w:sz="4" w:space="4" w:color="auto"/>
          <w:bottom w:val="single" w:sz="4" w:space="1" w:color="auto"/>
          <w:right w:val="single" w:sz="4" w:space="4" w:color="auto"/>
        </w:pBdr>
        <w:spacing w:after="0" w:line="240" w:lineRule="auto"/>
        <w:ind w:firstLine="426"/>
        <w:jc w:val="both"/>
        <w:rPr>
          <w:rFonts w:asciiTheme="majorHAnsi" w:hAnsiTheme="majorHAnsi"/>
          <w:szCs w:val="24"/>
        </w:rPr>
      </w:pPr>
      <w:r w:rsidRPr="00AE5CD3">
        <w:rPr>
          <w:rFonts w:asciiTheme="majorHAnsi" w:hAnsiTheme="majorHAnsi"/>
          <w:szCs w:val="24"/>
        </w:rPr>
        <w:t>Ако кандидат по одобрен за финансиране проект откаже сключване на Административен договор, се пристъпва към сключване на Административен договор с кандидат от резервния списък (в случай че такъв е съставен) по поредността на класирането в съответната категория предприятие, до изчерпване на наличния бюджет по процедурата.</w:t>
      </w:r>
    </w:p>
    <w:p w:rsidR="005A1B22" w:rsidRPr="00AE5CD3" w:rsidRDefault="005A1B22" w:rsidP="003F2254">
      <w:pPr>
        <w:pBdr>
          <w:top w:val="single" w:sz="4" w:space="1" w:color="auto"/>
          <w:left w:val="single" w:sz="4" w:space="4" w:color="auto"/>
          <w:bottom w:val="single" w:sz="4" w:space="1" w:color="auto"/>
          <w:right w:val="single" w:sz="4" w:space="4" w:color="auto"/>
        </w:pBdr>
        <w:spacing w:after="0" w:line="240" w:lineRule="auto"/>
        <w:ind w:firstLine="426"/>
        <w:jc w:val="both"/>
        <w:rPr>
          <w:rFonts w:asciiTheme="majorHAnsi" w:hAnsiTheme="majorHAnsi"/>
          <w:szCs w:val="24"/>
        </w:rPr>
      </w:pPr>
      <w:r w:rsidRPr="00AE5CD3">
        <w:rPr>
          <w:rFonts w:asciiTheme="majorHAnsi" w:hAnsiTheme="majorHAnsi"/>
          <w:szCs w:val="24"/>
        </w:rPr>
        <w:t>Уведомяването на всички кандидати се извършва само и единствено чрез ИСУН. Управляващият орган не носи отговорност ако поради грешни и/или непълни данни за кореспонденция, предоставени от самите кандидати, те не получават кореспонденцията с Управляващия орган.</w:t>
      </w:r>
    </w:p>
    <w:p w:rsidR="005A1B22" w:rsidRPr="00AE5CD3" w:rsidRDefault="005A1B22" w:rsidP="003F2254">
      <w:pPr>
        <w:pStyle w:val="aa"/>
        <w:pBdr>
          <w:top w:val="single" w:sz="4" w:space="1" w:color="auto"/>
          <w:left w:val="single" w:sz="4" w:space="4" w:color="auto"/>
          <w:bottom w:val="single" w:sz="4" w:space="1" w:color="auto"/>
          <w:right w:val="single" w:sz="4" w:space="4" w:color="auto"/>
        </w:pBdr>
        <w:spacing w:after="0" w:line="240" w:lineRule="auto"/>
        <w:ind w:left="0" w:firstLine="426"/>
        <w:jc w:val="both"/>
        <w:rPr>
          <w:rFonts w:asciiTheme="majorHAnsi" w:hAnsiTheme="majorHAnsi"/>
          <w:szCs w:val="24"/>
        </w:rPr>
      </w:pPr>
      <w:r w:rsidRPr="00AE5CD3">
        <w:rPr>
          <w:rFonts w:asciiTheme="majorHAnsi" w:hAnsiTheme="majorHAnsi"/>
          <w:szCs w:val="24"/>
        </w:rPr>
        <w:t>Всеки кандидат може да подаде до Ръководителя на Управляващия орган сигнал за предоставяне на невярна и/или подвеждаща информация от кандидати в процедури по предоставяне на безвъзмездна финансова помощ по ОПИК и/или от бенефициентите на безвъзмездна финансова помощ по ОПИК, които при изпълнение на договор, сключен по проект финансиран от Европейския фонд за регионално развитие, предоставят невярна и/или подвеждаща информация за вписване в регистъра и проверка.</w:t>
      </w:r>
    </w:p>
    <w:p w:rsidR="005A1B22" w:rsidRPr="00AE5CD3" w:rsidRDefault="005A1B22" w:rsidP="003F2254">
      <w:pPr>
        <w:pStyle w:val="aa"/>
        <w:pBdr>
          <w:top w:val="single" w:sz="4" w:space="1" w:color="auto"/>
          <w:left w:val="single" w:sz="4" w:space="4" w:color="auto"/>
          <w:bottom w:val="single" w:sz="4" w:space="1" w:color="auto"/>
          <w:right w:val="single" w:sz="4" w:space="4" w:color="auto"/>
        </w:pBdr>
        <w:spacing w:after="0" w:line="240" w:lineRule="auto"/>
        <w:ind w:left="0" w:firstLine="426"/>
        <w:jc w:val="both"/>
        <w:rPr>
          <w:rFonts w:asciiTheme="majorHAnsi" w:hAnsiTheme="majorHAnsi"/>
          <w:szCs w:val="24"/>
        </w:rPr>
      </w:pPr>
      <w:r w:rsidRPr="00AE5CD3">
        <w:rPr>
          <w:rFonts w:asciiTheme="majorHAnsi" w:hAnsiTheme="majorHAnsi"/>
          <w:b/>
          <w:szCs w:val="24"/>
        </w:rPr>
        <w:t xml:space="preserve">ВАЖНО: </w:t>
      </w:r>
      <w:r w:rsidRPr="00AE5CD3">
        <w:rPr>
          <w:rFonts w:asciiTheme="majorHAnsi" w:hAnsiTheme="majorHAnsi"/>
          <w:szCs w:val="24"/>
        </w:rPr>
        <w:t xml:space="preserve">Всеки бенефициент </w:t>
      </w:r>
      <w:r w:rsidRPr="00AE5CD3">
        <w:rPr>
          <w:rFonts w:asciiTheme="majorHAnsi" w:hAnsiTheme="majorHAnsi"/>
          <w:b/>
          <w:szCs w:val="24"/>
        </w:rPr>
        <w:t>се задължава</w:t>
      </w:r>
      <w:r w:rsidRPr="00AE5CD3">
        <w:rPr>
          <w:rFonts w:asciiTheme="majorHAnsi" w:hAnsiTheme="majorHAnsi"/>
          <w:szCs w:val="24"/>
        </w:rPr>
        <w:t xml:space="preserve"> след сключване на Административен договор за БФП да създаде „код за достъп“ в секция „Договори“ в ИСУН 2020 с права „четене“ на служител/и на МИГ във връзка с изпълнение на задълженията им по чл. 51 на ПМС 161/2016 г.</w:t>
      </w:r>
    </w:p>
    <w:p w:rsidR="005A1B22" w:rsidRPr="00AE5CD3" w:rsidRDefault="005A1B22" w:rsidP="008119B6">
      <w:pPr>
        <w:pStyle w:val="20"/>
        <w:spacing w:before="0" w:line="240" w:lineRule="auto"/>
        <w:rPr>
          <w:rFonts w:asciiTheme="majorHAnsi" w:hAnsiTheme="majorHAnsi"/>
          <w:sz w:val="28"/>
          <w:szCs w:val="28"/>
        </w:rPr>
      </w:pPr>
    </w:p>
    <w:p w:rsidR="005A1B22" w:rsidRPr="00AE5CD3" w:rsidRDefault="005A1B22" w:rsidP="00CB76D1">
      <w:pPr>
        <w:pStyle w:val="20"/>
        <w:spacing w:before="0" w:line="240" w:lineRule="auto"/>
        <w:rPr>
          <w:rFonts w:asciiTheme="majorHAnsi" w:hAnsiTheme="majorHAnsi"/>
          <w:color w:val="FF0000"/>
        </w:rPr>
      </w:pPr>
      <w:bookmarkStart w:id="161" w:name="_Toc514334568"/>
      <w:bookmarkStart w:id="162" w:name="_Toc514334660"/>
      <w:bookmarkStart w:id="163" w:name="_Toc514333728"/>
      <w:r w:rsidRPr="00AE5CD3">
        <w:rPr>
          <w:rFonts w:asciiTheme="majorHAnsi" w:hAnsiTheme="majorHAnsi"/>
        </w:rPr>
        <w:t>28. Приложения към Условията за кандидатстване</w:t>
      </w:r>
      <w:bookmarkEnd w:id="160"/>
      <w:bookmarkEnd w:id="161"/>
      <w:bookmarkEnd w:id="162"/>
      <w:bookmarkEnd w:id="163"/>
    </w:p>
    <w:p w:rsidR="005E37C5" w:rsidRPr="00AE5CD3" w:rsidRDefault="005E37C5" w:rsidP="00CB76D1">
      <w:pPr>
        <w:pStyle w:val="7"/>
        <w:pBdr>
          <w:top w:val="single" w:sz="4" w:space="1" w:color="auto"/>
          <w:left w:val="single" w:sz="4" w:space="4" w:color="auto"/>
          <w:bottom w:val="single" w:sz="4" w:space="1" w:color="auto"/>
          <w:right w:val="single" w:sz="4" w:space="4" w:color="auto"/>
        </w:pBdr>
        <w:spacing w:before="0" w:line="240" w:lineRule="auto"/>
        <w:rPr>
          <w:rFonts w:asciiTheme="majorHAnsi" w:hAnsiTheme="majorHAnsi"/>
          <w:b/>
        </w:rPr>
      </w:pPr>
      <w:r w:rsidRPr="00AE5CD3">
        <w:rPr>
          <w:rFonts w:asciiTheme="majorHAnsi" w:hAnsiTheme="majorHAnsi"/>
          <w:b/>
        </w:rPr>
        <w:t>Списък с документи за попълване:</w:t>
      </w:r>
    </w:p>
    <w:p w:rsidR="005E37C5" w:rsidRPr="00AE5CD3" w:rsidRDefault="005E37C5" w:rsidP="008119B6">
      <w:pPr>
        <w:pStyle w:val="afd"/>
        <w:pBdr>
          <w:top w:val="single" w:sz="4" w:space="1" w:color="auto"/>
          <w:left w:val="single" w:sz="4" w:space="4" w:color="auto"/>
          <w:bottom w:val="single" w:sz="4" w:space="1" w:color="auto"/>
          <w:right w:val="single" w:sz="4" w:space="4" w:color="auto"/>
        </w:pBdr>
        <w:spacing w:before="120"/>
        <w:rPr>
          <w:rFonts w:asciiTheme="majorHAnsi" w:hAnsiTheme="majorHAnsi"/>
          <w:b/>
          <w:lang w:val="bg-BG"/>
        </w:rPr>
      </w:pPr>
      <w:r w:rsidRPr="00AE5CD3">
        <w:rPr>
          <w:rFonts w:asciiTheme="majorHAnsi" w:hAnsiTheme="majorHAnsi"/>
          <w:lang w:val="bg-BG"/>
        </w:rPr>
        <w:t>1.Техническа спецификация на предв</w:t>
      </w:r>
      <w:r w:rsidR="007A59AE" w:rsidRPr="00AE5CD3">
        <w:rPr>
          <w:rFonts w:asciiTheme="majorHAnsi" w:hAnsiTheme="majorHAnsi"/>
          <w:lang w:val="bg-BG"/>
        </w:rPr>
        <w:t>идените за закупуване ДМА</w:t>
      </w:r>
      <w:r w:rsidR="003F2254" w:rsidRPr="00AE5CD3">
        <w:rPr>
          <w:rFonts w:asciiTheme="majorHAnsi" w:hAnsiTheme="majorHAnsi"/>
          <w:lang w:val="bg-BG"/>
        </w:rPr>
        <w:t>/</w:t>
      </w:r>
      <w:r w:rsidR="007A59AE" w:rsidRPr="00AE5CD3">
        <w:rPr>
          <w:rFonts w:asciiTheme="majorHAnsi" w:hAnsiTheme="majorHAnsi"/>
          <w:lang w:val="bg-BG"/>
        </w:rPr>
        <w:t>ДНА</w:t>
      </w:r>
      <w:r w:rsidRPr="00AE5CD3">
        <w:rPr>
          <w:rFonts w:asciiTheme="majorHAnsi" w:hAnsiTheme="majorHAnsi"/>
          <w:lang w:val="bg-BG"/>
        </w:rPr>
        <w:t>–</w:t>
      </w:r>
      <w:r w:rsidRPr="00AE5CD3">
        <w:rPr>
          <w:rFonts w:asciiTheme="majorHAnsi" w:hAnsiTheme="majorHAnsi"/>
          <w:b/>
          <w:lang w:val="bg-BG"/>
        </w:rPr>
        <w:t>ПриложениеА</w:t>
      </w:r>
    </w:p>
    <w:p w:rsidR="005E37C5" w:rsidRPr="00AE5CD3" w:rsidRDefault="005E37C5" w:rsidP="008119B6">
      <w:pPr>
        <w:pStyle w:val="30"/>
        <w:pBdr>
          <w:top w:val="single" w:sz="4" w:space="1" w:color="auto"/>
          <w:left w:val="single" w:sz="4" w:space="4" w:color="auto"/>
          <w:bottom w:val="single" w:sz="4" w:space="1" w:color="auto"/>
          <w:right w:val="single" w:sz="4" w:space="4" w:color="auto"/>
        </w:pBdr>
        <w:spacing w:before="120" w:line="240" w:lineRule="auto"/>
        <w:rPr>
          <w:rFonts w:asciiTheme="majorHAnsi" w:hAnsiTheme="majorHAnsi"/>
          <w:color w:val="auto"/>
          <w:sz w:val="24"/>
          <w:szCs w:val="24"/>
        </w:rPr>
      </w:pPr>
      <w:bookmarkStart w:id="164" w:name="_Toc514333729"/>
      <w:bookmarkStart w:id="165" w:name="_Toc514334569"/>
      <w:bookmarkStart w:id="166" w:name="_Toc514334661"/>
      <w:r w:rsidRPr="00AE5CD3">
        <w:rPr>
          <w:rFonts w:asciiTheme="majorHAnsi" w:hAnsiTheme="majorHAnsi"/>
          <w:b w:val="0"/>
          <w:color w:val="auto"/>
          <w:sz w:val="24"/>
          <w:szCs w:val="24"/>
        </w:rPr>
        <w:t>2. Бизнес план</w:t>
      </w:r>
      <w:r w:rsidRPr="00AE5CD3">
        <w:rPr>
          <w:rFonts w:asciiTheme="majorHAnsi" w:hAnsiTheme="majorHAnsi"/>
          <w:color w:val="auto"/>
          <w:sz w:val="24"/>
          <w:szCs w:val="24"/>
        </w:rPr>
        <w:t xml:space="preserve"> – Приложение Б;</w:t>
      </w:r>
      <w:bookmarkEnd w:id="164"/>
      <w:bookmarkEnd w:id="165"/>
      <w:bookmarkEnd w:id="166"/>
    </w:p>
    <w:p w:rsidR="005E37C5" w:rsidRPr="00AE5CD3" w:rsidRDefault="005E37C5" w:rsidP="008119B6">
      <w:pPr>
        <w:pStyle w:val="afd"/>
        <w:pBdr>
          <w:top w:val="single" w:sz="4" w:space="1" w:color="auto"/>
          <w:left w:val="single" w:sz="4" w:space="4" w:color="auto"/>
          <w:bottom w:val="single" w:sz="4" w:space="1" w:color="auto"/>
          <w:right w:val="single" w:sz="4" w:space="4" w:color="auto"/>
        </w:pBdr>
        <w:spacing w:before="120"/>
        <w:rPr>
          <w:rFonts w:asciiTheme="majorHAnsi" w:hAnsiTheme="majorHAnsi"/>
          <w:b/>
          <w:lang w:val="bg-BG"/>
        </w:rPr>
      </w:pPr>
      <w:r w:rsidRPr="00AE5CD3">
        <w:rPr>
          <w:rFonts w:asciiTheme="majorHAnsi" w:hAnsiTheme="majorHAnsi"/>
          <w:lang w:val="bg-BG"/>
        </w:rPr>
        <w:t>3. Декларация, че кандидатът е запознат с Условията за кандидатстване и Условията за изпълнение на проектите</w:t>
      </w:r>
      <w:r w:rsidRPr="00AE5CD3">
        <w:rPr>
          <w:rFonts w:asciiTheme="majorHAnsi" w:hAnsiTheme="majorHAnsi"/>
          <w:b/>
          <w:lang w:val="bg-BG"/>
        </w:rPr>
        <w:t xml:space="preserve"> – Приложение В;</w:t>
      </w:r>
    </w:p>
    <w:p w:rsidR="005E37C5" w:rsidRPr="00AE5CD3" w:rsidRDefault="005E37C5" w:rsidP="008119B6">
      <w:pPr>
        <w:pStyle w:val="afd"/>
        <w:pBdr>
          <w:top w:val="single" w:sz="4" w:space="1" w:color="auto"/>
          <w:left w:val="single" w:sz="4" w:space="4" w:color="auto"/>
          <w:bottom w:val="single" w:sz="4" w:space="1" w:color="auto"/>
          <w:right w:val="single" w:sz="4" w:space="4" w:color="auto"/>
        </w:pBdr>
        <w:spacing w:before="120"/>
        <w:rPr>
          <w:rFonts w:asciiTheme="majorHAnsi" w:hAnsiTheme="majorHAnsi"/>
          <w:b/>
          <w:lang w:val="bg-BG"/>
        </w:rPr>
      </w:pPr>
      <w:r w:rsidRPr="00AE5CD3">
        <w:rPr>
          <w:rFonts w:asciiTheme="majorHAnsi" w:hAnsiTheme="majorHAnsi"/>
          <w:lang w:val="bg-BG"/>
        </w:rPr>
        <w:t>4. Декларация по чл. 25, ал. 2 от Закона за управление на средствата от европейските структурни и инвестиционни фондове и чл. 7 от ПМС 162/2016 г.</w:t>
      </w:r>
      <w:r w:rsidRPr="00AE5CD3">
        <w:rPr>
          <w:rFonts w:asciiTheme="majorHAnsi" w:hAnsiTheme="majorHAnsi"/>
          <w:b/>
          <w:lang w:val="bg-BG"/>
        </w:rPr>
        <w:t xml:space="preserve"> – Приложение Г</w:t>
      </w:r>
    </w:p>
    <w:p w:rsidR="005E37C5" w:rsidRPr="00AE5CD3" w:rsidRDefault="005E37C5" w:rsidP="008119B6">
      <w:pPr>
        <w:pStyle w:val="afd"/>
        <w:pBdr>
          <w:top w:val="single" w:sz="4" w:space="1" w:color="auto"/>
          <w:left w:val="single" w:sz="4" w:space="4" w:color="auto"/>
          <w:bottom w:val="single" w:sz="4" w:space="1" w:color="auto"/>
          <w:right w:val="single" w:sz="4" w:space="4" w:color="auto"/>
        </w:pBdr>
        <w:spacing w:before="120"/>
        <w:rPr>
          <w:rFonts w:asciiTheme="majorHAnsi" w:hAnsiTheme="majorHAnsi"/>
          <w:b/>
          <w:lang w:val="bg-BG"/>
        </w:rPr>
      </w:pPr>
      <w:r w:rsidRPr="00AE5CD3">
        <w:rPr>
          <w:rFonts w:asciiTheme="majorHAnsi" w:hAnsiTheme="majorHAnsi"/>
          <w:lang w:val="bg-BG"/>
        </w:rPr>
        <w:t>5. Декларация за минимални помощи</w:t>
      </w:r>
      <w:r w:rsidRPr="00AE5CD3">
        <w:rPr>
          <w:rFonts w:asciiTheme="majorHAnsi" w:hAnsiTheme="majorHAnsi"/>
          <w:b/>
          <w:lang w:val="bg-BG"/>
        </w:rPr>
        <w:t xml:space="preserve"> - Приложение Д</w:t>
      </w:r>
      <w:r w:rsidR="003F2254" w:rsidRPr="00AE5CD3">
        <w:rPr>
          <w:rFonts w:asciiTheme="majorHAnsi" w:hAnsiTheme="majorHAnsi"/>
          <w:b/>
          <w:lang w:val="bg-BG"/>
        </w:rPr>
        <w:t xml:space="preserve"> и Приложение Д1</w:t>
      </w:r>
      <w:r w:rsidRPr="00AE5CD3">
        <w:rPr>
          <w:rFonts w:asciiTheme="majorHAnsi" w:hAnsiTheme="majorHAnsi"/>
          <w:b/>
          <w:lang w:val="bg-BG"/>
        </w:rPr>
        <w:t>;</w:t>
      </w:r>
    </w:p>
    <w:p w:rsidR="005E37C5" w:rsidRPr="00AE5CD3" w:rsidRDefault="005E37C5" w:rsidP="008119B6">
      <w:pPr>
        <w:pStyle w:val="afd"/>
        <w:pBdr>
          <w:top w:val="single" w:sz="4" w:space="1" w:color="auto"/>
          <w:left w:val="single" w:sz="4" w:space="4" w:color="auto"/>
          <w:bottom w:val="single" w:sz="4" w:space="1" w:color="auto"/>
          <w:right w:val="single" w:sz="4" w:space="4" w:color="auto"/>
        </w:pBdr>
        <w:spacing w:before="120"/>
        <w:rPr>
          <w:rFonts w:asciiTheme="majorHAnsi" w:hAnsiTheme="majorHAnsi"/>
          <w:b/>
          <w:lang w:val="bg-BG"/>
        </w:rPr>
      </w:pPr>
      <w:r w:rsidRPr="00AE5CD3">
        <w:rPr>
          <w:rFonts w:asciiTheme="majorHAnsi" w:hAnsiTheme="majorHAnsi"/>
          <w:lang w:val="bg-BG"/>
        </w:rPr>
        <w:t>6. Декларация за обстоятелствата по чл. 3 и чл. 4 от Закона за малките и средните предприятия</w:t>
      </w:r>
      <w:r w:rsidRPr="00AE5CD3">
        <w:rPr>
          <w:rFonts w:asciiTheme="majorHAnsi" w:hAnsiTheme="majorHAnsi"/>
          <w:b/>
          <w:lang w:val="bg-BG"/>
        </w:rPr>
        <w:t xml:space="preserve"> - Приложение Е;</w:t>
      </w:r>
    </w:p>
    <w:p w:rsidR="005E37C5" w:rsidRPr="00AE5CD3" w:rsidRDefault="005E37C5" w:rsidP="008119B6">
      <w:pPr>
        <w:pStyle w:val="afd"/>
        <w:pBdr>
          <w:top w:val="single" w:sz="4" w:space="1" w:color="auto"/>
          <w:left w:val="single" w:sz="4" w:space="4" w:color="auto"/>
          <w:bottom w:val="single" w:sz="4" w:space="1" w:color="auto"/>
          <w:right w:val="single" w:sz="4" w:space="4" w:color="auto"/>
        </w:pBdr>
        <w:spacing w:before="120"/>
        <w:jc w:val="both"/>
        <w:rPr>
          <w:rFonts w:asciiTheme="majorHAnsi" w:hAnsiTheme="majorHAnsi"/>
          <w:b/>
          <w:lang w:val="bg-BG" w:eastAsia="bg-BG"/>
        </w:rPr>
      </w:pPr>
      <w:r w:rsidRPr="00AE5CD3">
        <w:rPr>
          <w:rFonts w:asciiTheme="majorHAnsi" w:hAnsiTheme="majorHAnsi"/>
          <w:lang w:val="bg-BG" w:eastAsia="bg-BG"/>
        </w:rPr>
        <w:t xml:space="preserve">7. Декларация за съгласие данните на кандидата да бъдат предоставени от НСИ на УО на ОПИК по служебен път – по образец – </w:t>
      </w:r>
      <w:r w:rsidRPr="00AE5CD3">
        <w:rPr>
          <w:rFonts w:asciiTheme="majorHAnsi" w:hAnsiTheme="majorHAnsi"/>
          <w:b/>
          <w:lang w:val="bg-BG" w:eastAsia="bg-BG"/>
        </w:rPr>
        <w:t>Приложение Л</w:t>
      </w:r>
    </w:p>
    <w:p w:rsidR="00CB76D1" w:rsidRDefault="00CB76D1" w:rsidP="008119B6">
      <w:pPr>
        <w:pStyle w:val="7"/>
        <w:pBdr>
          <w:top w:val="single" w:sz="4" w:space="1" w:color="auto"/>
          <w:left w:val="single" w:sz="4" w:space="4" w:color="auto"/>
          <w:bottom w:val="single" w:sz="4" w:space="1" w:color="auto"/>
          <w:right w:val="single" w:sz="4" w:space="4" w:color="auto"/>
        </w:pBdr>
        <w:spacing w:before="0" w:after="0" w:line="240" w:lineRule="auto"/>
        <w:rPr>
          <w:rFonts w:asciiTheme="majorHAnsi" w:hAnsiTheme="majorHAnsi"/>
          <w:b/>
        </w:rPr>
      </w:pPr>
    </w:p>
    <w:p w:rsidR="005A1B22" w:rsidRPr="00AE5CD3" w:rsidRDefault="005A1B22" w:rsidP="008119B6">
      <w:pPr>
        <w:pStyle w:val="7"/>
        <w:pBdr>
          <w:top w:val="single" w:sz="4" w:space="1" w:color="auto"/>
          <w:left w:val="single" w:sz="4" w:space="4" w:color="auto"/>
          <w:bottom w:val="single" w:sz="4" w:space="1" w:color="auto"/>
          <w:right w:val="single" w:sz="4" w:space="4" w:color="auto"/>
        </w:pBdr>
        <w:spacing w:before="0" w:after="0" w:line="240" w:lineRule="auto"/>
        <w:rPr>
          <w:rFonts w:asciiTheme="majorHAnsi" w:hAnsiTheme="majorHAnsi"/>
          <w:b/>
        </w:rPr>
      </w:pPr>
      <w:r w:rsidRPr="00AE5CD3">
        <w:rPr>
          <w:rFonts w:asciiTheme="majorHAnsi" w:hAnsiTheme="majorHAnsi"/>
          <w:b/>
        </w:rPr>
        <w:t>Списък с документи за информация на кандидатите:</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spacing w:before="120"/>
        <w:rPr>
          <w:rFonts w:asciiTheme="majorHAnsi" w:hAnsiTheme="majorHAnsi"/>
          <w:b/>
          <w:lang w:val="bg-BG"/>
        </w:rPr>
      </w:pPr>
      <w:r w:rsidRPr="00AE5CD3">
        <w:rPr>
          <w:rFonts w:asciiTheme="majorHAnsi" w:hAnsiTheme="majorHAnsi"/>
          <w:lang w:val="bg-BG"/>
        </w:rPr>
        <w:t xml:space="preserve">1.Критерии и методология за оценка на проектни предложения – </w:t>
      </w:r>
      <w:r w:rsidRPr="00AE5CD3">
        <w:rPr>
          <w:rFonts w:asciiTheme="majorHAnsi" w:hAnsiTheme="majorHAnsi"/>
          <w:b/>
          <w:lang w:val="bg-BG"/>
        </w:rPr>
        <w:t>Приложение Ж</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spacing w:before="120"/>
        <w:rPr>
          <w:rFonts w:asciiTheme="majorHAnsi" w:hAnsiTheme="majorHAnsi"/>
          <w:b/>
          <w:lang w:val="bg-BG"/>
        </w:rPr>
      </w:pPr>
      <w:r w:rsidRPr="00AE5CD3">
        <w:rPr>
          <w:rFonts w:asciiTheme="majorHAnsi" w:hAnsiTheme="majorHAnsi"/>
          <w:lang w:val="bg-BG"/>
        </w:rPr>
        <w:t xml:space="preserve">2.Списък на общините в обхвата на селските райони  – </w:t>
      </w:r>
      <w:r w:rsidRPr="00AE5CD3">
        <w:rPr>
          <w:rFonts w:asciiTheme="majorHAnsi" w:hAnsiTheme="majorHAnsi"/>
          <w:b/>
          <w:lang w:val="bg-BG"/>
        </w:rPr>
        <w:t>Приложение З</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spacing w:before="120"/>
        <w:rPr>
          <w:rFonts w:asciiTheme="majorHAnsi" w:hAnsiTheme="majorHAnsi"/>
          <w:lang w:val="bg-BG"/>
        </w:rPr>
      </w:pPr>
      <w:r w:rsidRPr="00AE5CD3">
        <w:rPr>
          <w:rFonts w:asciiTheme="majorHAnsi" w:hAnsiTheme="majorHAnsi"/>
          <w:lang w:val="bg-BG"/>
        </w:rPr>
        <w:t xml:space="preserve">3.Приложение I към Договора за създаване на европейската общност – </w:t>
      </w:r>
      <w:r w:rsidRPr="00AE5CD3">
        <w:rPr>
          <w:rFonts w:asciiTheme="majorHAnsi" w:hAnsiTheme="majorHAnsi"/>
          <w:b/>
          <w:lang w:val="bg-BG"/>
        </w:rPr>
        <w:t>Приложение И</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spacing w:before="120"/>
        <w:rPr>
          <w:rFonts w:asciiTheme="majorHAnsi" w:hAnsiTheme="majorHAnsi"/>
          <w:b/>
          <w:lang w:val="bg-BG"/>
        </w:rPr>
      </w:pPr>
      <w:r w:rsidRPr="00AE5CD3">
        <w:rPr>
          <w:rFonts w:asciiTheme="majorHAnsi" w:hAnsiTheme="majorHAnsi"/>
          <w:lang w:val="bg-BG"/>
        </w:rPr>
        <w:t>4.Класификация на икономическите дейности /КИД - 2008/</w:t>
      </w:r>
      <w:r w:rsidRPr="00AE5CD3">
        <w:rPr>
          <w:rFonts w:asciiTheme="majorHAnsi" w:hAnsiTheme="majorHAnsi"/>
          <w:b/>
          <w:lang w:val="bg-BG"/>
        </w:rPr>
        <w:t xml:space="preserve"> - Приложение Й</w:t>
      </w:r>
    </w:p>
    <w:p w:rsidR="005A1B22" w:rsidRPr="00AE5CD3" w:rsidRDefault="005A1B22" w:rsidP="008119B6">
      <w:pPr>
        <w:pStyle w:val="afd"/>
        <w:pBdr>
          <w:top w:val="single" w:sz="4" w:space="1" w:color="auto"/>
          <w:left w:val="single" w:sz="4" w:space="4" w:color="auto"/>
          <w:bottom w:val="single" w:sz="4" w:space="1" w:color="auto"/>
          <w:right w:val="single" w:sz="4" w:space="4" w:color="auto"/>
        </w:pBdr>
        <w:spacing w:before="120"/>
        <w:rPr>
          <w:rFonts w:asciiTheme="majorHAnsi" w:hAnsiTheme="majorHAnsi"/>
          <w:b/>
          <w:lang w:val="bg-BG"/>
        </w:rPr>
      </w:pPr>
      <w:r w:rsidRPr="00AE5CD3">
        <w:rPr>
          <w:rFonts w:asciiTheme="majorHAnsi" w:hAnsiTheme="majorHAnsi"/>
          <w:lang w:val="bg-BG"/>
        </w:rPr>
        <w:t>5.Използвани съкращения и основни дефиниции</w:t>
      </w:r>
      <w:r w:rsidRPr="00AE5CD3">
        <w:rPr>
          <w:rFonts w:asciiTheme="majorHAnsi" w:hAnsiTheme="majorHAnsi"/>
          <w:b/>
          <w:lang w:val="bg-BG"/>
        </w:rPr>
        <w:t xml:space="preserve"> – Приложение К</w:t>
      </w:r>
    </w:p>
    <w:p w:rsidR="0061037F" w:rsidRPr="00AE5CD3" w:rsidRDefault="005A1B22" w:rsidP="008119B6">
      <w:pPr>
        <w:pStyle w:val="afd"/>
        <w:pBdr>
          <w:top w:val="single" w:sz="4" w:space="1" w:color="auto"/>
          <w:left w:val="single" w:sz="4" w:space="4" w:color="auto"/>
          <w:bottom w:val="single" w:sz="4" w:space="1" w:color="auto"/>
          <w:right w:val="single" w:sz="4" w:space="4" w:color="auto"/>
        </w:pBdr>
        <w:spacing w:before="120"/>
        <w:rPr>
          <w:rFonts w:asciiTheme="majorHAnsi" w:hAnsiTheme="majorHAnsi"/>
          <w:b/>
          <w:color w:val="000000"/>
          <w:lang w:val="bg-BG"/>
        </w:rPr>
      </w:pPr>
      <w:r w:rsidRPr="00AE5CD3">
        <w:rPr>
          <w:rFonts w:asciiTheme="majorHAnsi" w:hAnsiTheme="majorHAnsi"/>
          <w:color w:val="000000"/>
          <w:lang w:val="bg-BG"/>
        </w:rPr>
        <w:t xml:space="preserve">6.Указания за попълване на електронен формуляр – </w:t>
      </w:r>
      <w:r w:rsidRPr="00AE5CD3">
        <w:rPr>
          <w:rFonts w:asciiTheme="majorHAnsi" w:hAnsiTheme="majorHAnsi"/>
          <w:b/>
          <w:color w:val="000000"/>
          <w:lang w:val="bg-BG"/>
        </w:rPr>
        <w:t xml:space="preserve">Приложение </w:t>
      </w:r>
      <w:r w:rsidR="005D320E" w:rsidRPr="00AE5CD3">
        <w:rPr>
          <w:rFonts w:asciiTheme="majorHAnsi" w:hAnsiTheme="majorHAnsi"/>
          <w:b/>
          <w:color w:val="000000"/>
          <w:lang w:val="bg-BG"/>
        </w:rPr>
        <w:t>M</w:t>
      </w:r>
    </w:p>
    <w:p w:rsidR="00677E09" w:rsidRPr="00AE5CD3" w:rsidRDefault="00677E09" w:rsidP="008119B6">
      <w:pPr>
        <w:pStyle w:val="afd"/>
        <w:pBdr>
          <w:top w:val="single" w:sz="4" w:space="1" w:color="auto"/>
          <w:left w:val="single" w:sz="4" w:space="4" w:color="auto"/>
          <w:bottom w:val="single" w:sz="4" w:space="1" w:color="auto"/>
          <w:right w:val="single" w:sz="4" w:space="4" w:color="auto"/>
        </w:pBdr>
        <w:spacing w:before="120"/>
        <w:rPr>
          <w:rFonts w:asciiTheme="majorHAnsi" w:hAnsiTheme="majorHAnsi"/>
          <w:lang w:val="bg-BG"/>
        </w:rPr>
      </w:pPr>
      <w:r w:rsidRPr="00AE5CD3">
        <w:rPr>
          <w:rFonts w:asciiTheme="majorHAnsi" w:hAnsiTheme="majorHAnsi"/>
          <w:color w:val="000000"/>
          <w:lang w:val="bg-BG"/>
        </w:rPr>
        <w:t>7. Указание на Министъра на финансите относно третиране на ДДС –</w:t>
      </w:r>
      <w:r w:rsidRPr="00AE5CD3">
        <w:rPr>
          <w:rFonts w:asciiTheme="majorHAnsi" w:hAnsiTheme="majorHAnsi"/>
          <w:b/>
          <w:color w:val="000000"/>
          <w:lang w:val="bg-BG"/>
        </w:rPr>
        <w:t xml:space="preserve"> Приложение Т</w:t>
      </w:r>
    </w:p>
    <w:sectPr w:rsidR="00677E09" w:rsidRPr="00AE5CD3" w:rsidSect="00A2595A">
      <w:footerReference w:type="default" r:id="rId23"/>
      <w:pgSz w:w="11906" w:h="16838"/>
      <w:pgMar w:top="993" w:right="849" w:bottom="1418" w:left="1418" w:header="709" w:footer="313"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DCA" w:rsidRDefault="00565DCA" w:rsidP="00916426">
      <w:pPr>
        <w:spacing w:after="0" w:line="240" w:lineRule="auto"/>
      </w:pPr>
      <w:r>
        <w:separator/>
      </w:r>
    </w:p>
  </w:endnote>
  <w:endnote w:type="continuationSeparator" w:id="1">
    <w:p w:rsidR="00565DCA" w:rsidRDefault="00565DCA" w:rsidP="00916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3FE" w:rsidRPr="00916426" w:rsidRDefault="006773FE" w:rsidP="00D01902">
    <w:pPr>
      <w:pStyle w:val="a6"/>
      <w:ind w:firstLine="3969"/>
      <w:rPr>
        <w:rFonts w:asciiTheme="majorHAnsi" w:hAnsiTheme="majorHAnsi"/>
        <w:i/>
      </w:rPr>
    </w:pPr>
    <w:r w:rsidRPr="00916426">
      <w:rPr>
        <w:rFonts w:asciiTheme="majorHAnsi" w:hAnsiTheme="majorHAnsi"/>
        <w:i/>
      </w:rPr>
      <w:t xml:space="preserve">Златоград 4980,  ул. Стефан Стамболов 1 </w:t>
    </w:r>
  </w:p>
  <w:p w:rsidR="006773FE" w:rsidRPr="00916426" w:rsidRDefault="006773FE" w:rsidP="00D01902">
    <w:pPr>
      <w:pStyle w:val="a6"/>
      <w:ind w:firstLine="3969"/>
      <w:rPr>
        <w:rFonts w:asciiTheme="majorHAnsi" w:hAnsiTheme="majorHAnsi"/>
        <w:i/>
        <w:lang w:val="ru-RU"/>
      </w:rPr>
    </w:pPr>
    <w:r w:rsidRPr="00916426">
      <w:rPr>
        <w:rFonts w:asciiTheme="majorHAnsi" w:hAnsiTheme="majorHAnsi"/>
        <w:i/>
      </w:rPr>
      <w:t xml:space="preserve">тел. 03071 4205  ел. поща: </w:t>
    </w:r>
    <w:r w:rsidRPr="00916426">
      <w:rPr>
        <w:rFonts w:asciiTheme="majorHAnsi" w:hAnsiTheme="majorHAnsi"/>
        <w:i/>
        <w:lang w:val="en-US"/>
      </w:rPr>
      <w:t>mig</w:t>
    </w:r>
    <w:r w:rsidRPr="00916426">
      <w:rPr>
        <w:rFonts w:asciiTheme="majorHAnsi" w:hAnsiTheme="majorHAnsi"/>
        <w:i/>
      </w:rPr>
      <w:t>-</w:t>
    </w:r>
    <w:r w:rsidRPr="00916426">
      <w:rPr>
        <w:rFonts w:asciiTheme="majorHAnsi" w:hAnsiTheme="majorHAnsi"/>
        <w:i/>
        <w:lang w:val="en-US"/>
      </w:rPr>
      <w:t>zlatograd</w:t>
    </w:r>
    <w:r w:rsidRPr="00916426">
      <w:rPr>
        <w:rFonts w:asciiTheme="majorHAnsi" w:hAnsiTheme="majorHAnsi"/>
        <w:i/>
      </w:rPr>
      <w:t>-</w:t>
    </w:r>
    <w:r w:rsidRPr="00916426">
      <w:rPr>
        <w:rFonts w:asciiTheme="majorHAnsi" w:hAnsiTheme="majorHAnsi"/>
        <w:i/>
        <w:lang w:val="en-US"/>
      </w:rPr>
      <w:t>kirkovo</w:t>
    </w:r>
    <w:r w:rsidRPr="00916426">
      <w:rPr>
        <w:rFonts w:asciiTheme="majorHAnsi" w:hAnsiTheme="majorHAnsi"/>
        <w:i/>
        <w:lang w:val="ru-RU"/>
      </w:rPr>
      <w:t>@</w:t>
    </w:r>
    <w:r w:rsidRPr="00916426">
      <w:rPr>
        <w:rFonts w:asciiTheme="majorHAnsi" w:hAnsiTheme="majorHAnsi"/>
        <w:i/>
        <w:lang w:val="en-US"/>
      </w:rPr>
      <w:t>abv</w:t>
    </w:r>
    <w:r w:rsidRPr="00916426">
      <w:rPr>
        <w:rFonts w:asciiTheme="majorHAnsi" w:hAnsiTheme="majorHAnsi"/>
        <w:i/>
        <w:lang w:val="ru-RU"/>
      </w:rPr>
      <w:t>.</w:t>
    </w:r>
    <w:r w:rsidRPr="00916426">
      <w:rPr>
        <w:rFonts w:asciiTheme="majorHAnsi" w:hAnsiTheme="majorHAnsi"/>
        <w:i/>
        <w:lang w:val="en-US"/>
      </w:rPr>
      <w:t>bg</w:t>
    </w:r>
  </w:p>
  <w:p w:rsidR="006773FE" w:rsidRPr="00916426" w:rsidRDefault="006773FE" w:rsidP="00916426">
    <w:pPr>
      <w:pStyle w:val="a6"/>
      <w:rPr>
        <w:rFonts w:asciiTheme="majorHAnsi" w:hAnsiTheme="majorHAnsi"/>
        <w:i/>
        <w:sz w:val="24"/>
      </w:rPr>
    </w:pPr>
    <w:r w:rsidRPr="00916426">
      <w:rPr>
        <w:rFonts w:asciiTheme="majorHAnsi" w:hAnsiTheme="majorHAnsi"/>
        <w:b/>
        <w:i/>
        <w:sz w:val="24"/>
        <w:lang w:val="en-US"/>
      </w:rPr>
      <w:t>www</w:t>
    </w:r>
    <w:r w:rsidRPr="00916426">
      <w:rPr>
        <w:rFonts w:asciiTheme="majorHAnsi" w:hAnsiTheme="majorHAnsi"/>
        <w:b/>
        <w:i/>
        <w:sz w:val="24"/>
      </w:rPr>
      <w:t>.</w:t>
    </w:r>
    <w:r w:rsidRPr="00916426">
      <w:rPr>
        <w:rFonts w:asciiTheme="majorHAnsi" w:hAnsiTheme="majorHAnsi"/>
        <w:b/>
        <w:i/>
        <w:sz w:val="24"/>
        <w:lang w:val="en-US"/>
      </w:rPr>
      <w:t>mig</w:t>
    </w:r>
    <w:r w:rsidRPr="00916426">
      <w:rPr>
        <w:rFonts w:asciiTheme="majorHAnsi" w:hAnsiTheme="majorHAnsi"/>
        <w:b/>
        <w:i/>
        <w:sz w:val="24"/>
      </w:rPr>
      <w:t>-</w:t>
    </w:r>
    <w:r w:rsidRPr="00916426">
      <w:rPr>
        <w:rFonts w:asciiTheme="majorHAnsi" w:hAnsiTheme="majorHAnsi"/>
        <w:b/>
        <w:i/>
        <w:sz w:val="24"/>
        <w:lang w:val="en-US"/>
      </w:rPr>
      <w:t>kirkovo</w:t>
    </w:r>
    <w:r w:rsidRPr="00916426">
      <w:rPr>
        <w:rFonts w:asciiTheme="majorHAnsi" w:hAnsiTheme="majorHAnsi"/>
        <w:b/>
        <w:i/>
        <w:sz w:val="24"/>
      </w:rPr>
      <w:t>-</w:t>
    </w:r>
    <w:r w:rsidRPr="00916426">
      <w:rPr>
        <w:rFonts w:asciiTheme="majorHAnsi" w:hAnsiTheme="majorHAnsi"/>
        <w:b/>
        <w:i/>
        <w:sz w:val="24"/>
        <w:lang w:val="en-US"/>
      </w:rPr>
      <w:t>zlatograd</w:t>
    </w:r>
    <w:r w:rsidRPr="00916426">
      <w:rPr>
        <w:rFonts w:asciiTheme="majorHAnsi" w:hAnsiTheme="majorHAnsi"/>
        <w:b/>
        <w:i/>
        <w:sz w:val="24"/>
      </w:rPr>
      <w:t>.</w:t>
    </w:r>
    <w:r w:rsidRPr="00916426">
      <w:rPr>
        <w:rFonts w:asciiTheme="majorHAnsi" w:hAnsiTheme="majorHAnsi"/>
        <w:b/>
        <w:i/>
        <w:sz w:val="24"/>
        <w:lang w:val="en-US"/>
      </w:rPr>
      <w:t>com</w:t>
    </w:r>
    <w:r w:rsidRPr="00916426">
      <w:rPr>
        <w:rFonts w:asciiTheme="majorHAnsi" w:hAnsiTheme="majorHAnsi"/>
        <w:i/>
        <w:sz w:val="24"/>
      </w:rPr>
      <w:tab/>
    </w:r>
    <w:r w:rsidRPr="00916426">
      <w:rPr>
        <w:rFonts w:asciiTheme="majorHAnsi" w:hAnsiTheme="majorHAnsi"/>
        <w:i/>
        <w:sz w:val="24"/>
      </w:rPr>
      <w:tab/>
      <w:t xml:space="preserve">                ~ </w:t>
    </w:r>
    <w:r w:rsidRPr="00F86C36">
      <w:rPr>
        <w:rFonts w:asciiTheme="majorHAnsi" w:hAnsiTheme="majorHAnsi"/>
        <w:i/>
        <w:sz w:val="24"/>
        <w:lang w:val="ru-RU"/>
      </w:rPr>
      <w:fldChar w:fldCharType="begin"/>
    </w:r>
    <w:r w:rsidRPr="00F86C36">
      <w:rPr>
        <w:rFonts w:asciiTheme="majorHAnsi" w:hAnsiTheme="majorHAnsi"/>
        <w:i/>
        <w:sz w:val="24"/>
        <w:lang w:val="ru-RU"/>
      </w:rPr>
      <w:instrText>PAGE</w:instrText>
    </w:r>
    <w:r w:rsidRPr="00916426">
      <w:rPr>
        <w:rFonts w:asciiTheme="majorHAnsi" w:hAnsiTheme="majorHAnsi"/>
        <w:i/>
        <w:sz w:val="24"/>
      </w:rPr>
      <w:instrText xml:space="preserve">    \* </w:instrText>
    </w:r>
    <w:r w:rsidRPr="00F86C36">
      <w:rPr>
        <w:rFonts w:asciiTheme="majorHAnsi" w:hAnsiTheme="majorHAnsi"/>
        <w:i/>
        <w:sz w:val="24"/>
        <w:lang w:val="ru-RU"/>
      </w:rPr>
      <w:instrText>MERGEFORMAT</w:instrText>
    </w:r>
    <w:r w:rsidRPr="00F86C36">
      <w:rPr>
        <w:rFonts w:asciiTheme="majorHAnsi" w:hAnsiTheme="majorHAnsi"/>
        <w:i/>
        <w:sz w:val="24"/>
        <w:lang w:val="ru-RU"/>
      </w:rPr>
      <w:fldChar w:fldCharType="separate"/>
    </w:r>
    <w:r w:rsidR="00CB76D1" w:rsidRPr="00CB76D1">
      <w:rPr>
        <w:rFonts w:asciiTheme="majorHAnsi" w:hAnsiTheme="majorHAnsi"/>
        <w:i/>
        <w:noProof/>
        <w:sz w:val="24"/>
      </w:rPr>
      <w:t>52</w:t>
    </w:r>
    <w:r w:rsidRPr="00F86C36">
      <w:rPr>
        <w:rFonts w:asciiTheme="majorHAnsi" w:hAnsiTheme="majorHAnsi"/>
        <w:i/>
        <w:sz w:val="24"/>
        <w:lang w:val="ru-RU"/>
      </w:rPr>
      <w:fldChar w:fldCharType="end"/>
    </w:r>
    <w:r w:rsidRPr="00916426">
      <w:rPr>
        <w:rFonts w:asciiTheme="majorHAnsi" w:hAnsiTheme="majorHAnsi"/>
        <w:i/>
        <w:sz w:val="24"/>
      </w:rPr>
      <w:t xml:space="preserve"> ~</w:t>
    </w:r>
  </w:p>
  <w:p w:rsidR="006773FE" w:rsidRPr="00916426" w:rsidRDefault="006773F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DCA" w:rsidRDefault="00565DCA" w:rsidP="00916426">
      <w:pPr>
        <w:spacing w:after="0" w:line="240" w:lineRule="auto"/>
      </w:pPr>
      <w:r>
        <w:separator/>
      </w:r>
    </w:p>
  </w:footnote>
  <w:footnote w:type="continuationSeparator" w:id="1">
    <w:p w:rsidR="00565DCA" w:rsidRDefault="00565DCA" w:rsidP="00916426">
      <w:pPr>
        <w:spacing w:after="0" w:line="240" w:lineRule="auto"/>
      </w:pPr>
      <w:r>
        <w:continuationSeparator/>
      </w:r>
    </w:p>
  </w:footnote>
  <w:footnote w:id="2">
    <w:p w:rsidR="006773FE" w:rsidRPr="00FE4DF8" w:rsidRDefault="006773FE">
      <w:pPr>
        <w:pStyle w:val="ac"/>
        <w:rPr>
          <w:rFonts w:asciiTheme="majorHAnsi" w:hAnsiTheme="majorHAnsi"/>
          <w:sz w:val="24"/>
          <w:szCs w:val="24"/>
        </w:rPr>
      </w:pPr>
      <w:r w:rsidRPr="00FE4DF8">
        <w:rPr>
          <w:rStyle w:val="ae"/>
          <w:rFonts w:asciiTheme="majorHAnsi" w:hAnsiTheme="majorHAnsi"/>
          <w:sz w:val="22"/>
          <w:szCs w:val="24"/>
        </w:rPr>
        <w:footnoteRef/>
      </w:r>
      <w:r w:rsidRPr="00FE4DF8">
        <w:rPr>
          <w:rFonts w:asciiTheme="majorHAnsi" w:hAnsiTheme="majorHAnsi"/>
          <w:sz w:val="22"/>
          <w:szCs w:val="24"/>
        </w:rPr>
        <w:t xml:space="preserve">  Съгласно Регламент за изпълнение (ЕС) №215/2014 на Комисията от 7 март 2014г.  </w:t>
      </w:r>
    </w:p>
  </w:footnote>
  <w:footnote w:id="3">
    <w:p w:rsidR="006773FE" w:rsidRPr="00296AD8" w:rsidRDefault="006773FE">
      <w:pPr>
        <w:pStyle w:val="ac"/>
      </w:pPr>
      <w:r>
        <w:rPr>
          <w:rStyle w:val="ae"/>
        </w:rPr>
        <w:footnoteRef/>
      </w:r>
      <w:r w:rsidRPr="00296AD8">
        <w:rPr>
          <w:rFonts w:asciiTheme="majorHAnsi" w:hAnsiTheme="majorHAnsi"/>
        </w:rPr>
        <w:t>Бюджетът по процедурата е превалутиран по фиксинга на БНБ за 1 евро – 1.95583 лв.</w:t>
      </w:r>
    </w:p>
  </w:footnote>
  <w:footnote w:id="4">
    <w:p w:rsidR="006773FE" w:rsidRPr="00A529D5" w:rsidRDefault="006773FE" w:rsidP="005A1B22">
      <w:pPr>
        <w:pStyle w:val="ac"/>
        <w:jc w:val="both"/>
      </w:pPr>
      <w:r w:rsidRPr="00A529D5">
        <w:rPr>
          <w:rStyle w:val="ae"/>
        </w:rPr>
        <w:footnoteRef/>
      </w:r>
      <w:r w:rsidRPr="005266B4">
        <w:rPr>
          <w:rFonts w:asciiTheme="majorHAnsi" w:hAnsiTheme="majorHAnsi"/>
        </w:rPr>
        <w:t>При окончателно плащане Управляващият орган извършва проверка</w:t>
      </w:r>
      <w:r w:rsidRPr="005266B4">
        <w:rPr>
          <w:rFonts w:asciiTheme="majorHAnsi" w:hAnsiTheme="majorHAnsi"/>
          <w:bCs/>
          <w:lang w:eastAsia="fr-FR"/>
        </w:rPr>
        <w:t xml:space="preserve"> дали сконтираната стойност на безвъзмездната помощ към сконтираната стойност на допустимите разходи е в рамките на допустимия интензитет при прилагане на следната формула:PV = FV/(1+i)</w:t>
      </w:r>
      <w:r w:rsidRPr="005266B4">
        <w:rPr>
          <w:rFonts w:asciiTheme="majorHAnsi" w:hAnsiTheme="majorHAnsi"/>
          <w:bCs/>
          <w:lang w:val="en-US" w:eastAsia="fr-FR"/>
        </w:rPr>
        <w:t>t</w:t>
      </w:r>
      <w:r w:rsidRPr="005266B4">
        <w:rPr>
          <w:rFonts w:asciiTheme="majorHAnsi" w:hAnsiTheme="majorHAnsi"/>
          <w:bCs/>
          <w:lang w:eastAsia="fr-FR"/>
        </w:rPr>
        <w:t xml:space="preserve"> , където PV е сконтирана стойност, FV е реална стойност,  i е лихвеният процент, а t – периода на изпълнение в години.</w:t>
      </w:r>
    </w:p>
  </w:footnote>
  <w:footnote w:id="5">
    <w:p w:rsidR="006773FE" w:rsidRDefault="006773FE" w:rsidP="00704B00">
      <w:pPr>
        <w:spacing w:after="0"/>
        <w:ind w:left="142"/>
      </w:pPr>
      <w:r w:rsidRPr="00C92E3D">
        <w:rPr>
          <w:rStyle w:val="ae"/>
        </w:rPr>
        <w:footnoteRef/>
      </w:r>
      <w:r w:rsidRPr="00C92E3D">
        <w:rPr>
          <w:rFonts w:asciiTheme="majorHAnsi" w:hAnsiTheme="majorHAnsi"/>
          <w:szCs w:val="24"/>
        </w:rPr>
        <w:t xml:space="preserve">Трите приключили </w:t>
      </w:r>
      <w:r>
        <w:rPr>
          <w:rFonts w:asciiTheme="majorHAnsi" w:hAnsiTheme="majorHAnsi"/>
          <w:szCs w:val="24"/>
        </w:rPr>
        <w:t>бюджетни</w:t>
      </w:r>
      <w:r w:rsidRPr="00C92E3D">
        <w:rPr>
          <w:rFonts w:asciiTheme="majorHAnsi" w:hAnsiTheme="majorHAnsi"/>
          <w:szCs w:val="24"/>
        </w:rPr>
        <w:t xml:space="preserve"> години за </w:t>
      </w:r>
      <w:r w:rsidRPr="00C92E3D">
        <w:rPr>
          <w:rFonts w:asciiTheme="majorHAnsi" w:hAnsiTheme="majorHAnsi"/>
          <w:b/>
          <w:i/>
          <w:szCs w:val="24"/>
        </w:rPr>
        <w:t>Първи прием</w:t>
      </w:r>
      <w:r w:rsidRPr="00C92E3D">
        <w:rPr>
          <w:rFonts w:asciiTheme="majorHAnsi" w:hAnsiTheme="majorHAnsi"/>
          <w:szCs w:val="24"/>
        </w:rPr>
        <w:t>– 2015, 2016 и 2017 година</w:t>
      </w:r>
      <w:r>
        <w:rPr>
          <w:rFonts w:asciiTheme="majorHAnsi" w:hAnsiTheme="majorHAnsi"/>
          <w:szCs w:val="24"/>
        </w:rPr>
        <w:t xml:space="preserve">, </w:t>
      </w:r>
      <w:r w:rsidRPr="00C92E3D">
        <w:rPr>
          <w:rFonts w:asciiTheme="majorHAnsi" w:hAnsiTheme="majorHAnsi"/>
          <w:szCs w:val="24"/>
        </w:rPr>
        <w:t xml:space="preserve">за </w:t>
      </w:r>
      <w:r w:rsidRPr="00C92E3D">
        <w:rPr>
          <w:rFonts w:asciiTheme="majorHAnsi" w:hAnsiTheme="majorHAnsi"/>
          <w:b/>
          <w:i/>
          <w:szCs w:val="24"/>
        </w:rPr>
        <w:t>Втори прием</w:t>
      </w:r>
      <w:r>
        <w:rPr>
          <w:rFonts w:asciiTheme="majorHAnsi" w:hAnsiTheme="majorHAnsi"/>
          <w:szCs w:val="24"/>
        </w:rPr>
        <w:t xml:space="preserve"> са - </w:t>
      </w:r>
      <w:r w:rsidRPr="00C92E3D">
        <w:rPr>
          <w:rFonts w:asciiTheme="majorHAnsi" w:hAnsiTheme="majorHAnsi"/>
          <w:szCs w:val="24"/>
        </w:rPr>
        <w:t>2016, 2017 и 2018 година</w:t>
      </w:r>
      <w:r>
        <w:rPr>
          <w:rFonts w:asciiTheme="majorHAnsi" w:hAnsiTheme="majorHAnsi"/>
          <w:szCs w:val="24"/>
        </w:rPr>
        <w:t xml:space="preserve">, за </w:t>
      </w:r>
      <w:r w:rsidRPr="00C92E3D">
        <w:rPr>
          <w:rFonts w:asciiTheme="majorHAnsi" w:hAnsiTheme="majorHAnsi"/>
          <w:b/>
          <w:szCs w:val="24"/>
        </w:rPr>
        <w:t>Трети прием</w:t>
      </w:r>
      <w:r w:rsidRPr="00C92E3D">
        <w:rPr>
          <w:rFonts w:asciiTheme="majorHAnsi" w:hAnsiTheme="majorHAnsi"/>
          <w:szCs w:val="24"/>
        </w:rPr>
        <w:t xml:space="preserve"> -  2017, 2018 и</w:t>
      </w:r>
      <w:r w:rsidRPr="00687485">
        <w:rPr>
          <w:rFonts w:asciiTheme="majorHAnsi" w:hAnsiTheme="majorHAnsi"/>
          <w:szCs w:val="24"/>
        </w:rPr>
        <w:t>2019  година</w:t>
      </w:r>
      <w:r w:rsidRPr="00C92E3D">
        <w:rPr>
          <w:rFonts w:asciiTheme="majorHAnsi" w:hAnsiTheme="majorHAnsi"/>
          <w:strike/>
          <w:szCs w:val="24"/>
        </w:rPr>
        <w:t>.</w:t>
      </w:r>
    </w:p>
  </w:footnote>
  <w:footnote w:id="6">
    <w:p w:rsidR="006773FE" w:rsidRPr="00AB1B9C" w:rsidRDefault="006773FE" w:rsidP="00AB1B9C">
      <w:pPr>
        <w:pStyle w:val="ac"/>
        <w:jc w:val="both"/>
        <w:rPr>
          <w:rFonts w:asciiTheme="majorHAnsi" w:hAnsiTheme="majorHAnsi"/>
          <w:sz w:val="22"/>
        </w:rPr>
      </w:pPr>
      <w:r w:rsidRPr="00AB1B9C">
        <w:rPr>
          <w:rStyle w:val="ae"/>
          <w:rFonts w:asciiTheme="majorHAnsi" w:hAnsiTheme="majorHAnsi"/>
          <w:sz w:val="22"/>
        </w:rPr>
        <w:footnoteRef/>
      </w:r>
      <w:r w:rsidRPr="00AB1B9C">
        <w:rPr>
          <w:rFonts w:asciiTheme="majorHAnsi" w:hAnsiTheme="majorHAnsi"/>
          <w:sz w:val="22"/>
        </w:rPr>
        <w:t xml:space="preserve">Раздел А „Приходи”, т. I „Приходи от оперативна дейност”, сбор от сумите по ред „Нетни приходи от продажби” от приходната част на Отчета за приходите и разходите за последните три приключени </w:t>
      </w:r>
      <w:r>
        <w:rPr>
          <w:rFonts w:asciiTheme="majorHAnsi" w:hAnsiTheme="majorHAnsi"/>
          <w:sz w:val="22"/>
        </w:rPr>
        <w:t>бюджетни</w:t>
      </w:r>
      <w:r w:rsidRPr="00AB1B9C">
        <w:rPr>
          <w:rFonts w:asciiTheme="majorHAnsi" w:hAnsiTheme="majorHAnsi"/>
          <w:sz w:val="22"/>
        </w:rPr>
        <w:t xml:space="preserve"> години.</w:t>
      </w:r>
    </w:p>
  </w:footnote>
  <w:footnote w:id="7">
    <w:p w:rsidR="006773FE" w:rsidRPr="00D561EB" w:rsidRDefault="006773FE" w:rsidP="00D561EB">
      <w:pPr>
        <w:pStyle w:val="ac"/>
        <w:jc w:val="both"/>
        <w:rPr>
          <w:rFonts w:asciiTheme="majorHAnsi" w:hAnsiTheme="majorHAnsi"/>
          <w:i/>
        </w:rPr>
      </w:pPr>
      <w:r>
        <w:rPr>
          <w:rStyle w:val="ae"/>
        </w:rPr>
        <w:footnoteRef/>
      </w:r>
      <w:r w:rsidRPr="00D561EB">
        <w:rPr>
          <w:rFonts w:asciiTheme="majorHAnsi" w:hAnsiTheme="majorHAnsi"/>
          <w:i/>
        </w:rPr>
        <w:t xml:space="preserve">За целите на процедурите по ОПИК и съгласно приложимата нормативна уредба в областта (Регламент № 2023/2006; Регламент № 1223/2009; Регламент ЕС № 852/2004; Директива 2003/94) под „добра производствена практика (ДПП)“ се разбират онези аспекти на гарантиране на качеството в областта на: производството на козметични продукти, лекарства и лекарствени вещества, хранителни продукти, материали и предмети, предназначени за контакт с храни, които осигуряват постоянно производство и контрол на продукти/материалите/предметите, така че те да съответстват на правилата, приложими за тях, и на стандартите за качество, съответстващи на  предназначението им, като не представляват риск за здравето на потребителя, или обществеността.  </w:t>
      </w:r>
    </w:p>
  </w:footnote>
  <w:footnote w:id="8">
    <w:p w:rsidR="006773FE" w:rsidRDefault="006773FE" w:rsidP="00D561EB">
      <w:pPr>
        <w:pStyle w:val="ac"/>
        <w:jc w:val="both"/>
      </w:pPr>
      <w:r w:rsidRPr="00D561EB">
        <w:rPr>
          <w:rStyle w:val="ae"/>
          <w:rFonts w:asciiTheme="majorHAnsi" w:hAnsiTheme="majorHAnsi"/>
          <w:i/>
        </w:rPr>
        <w:footnoteRef/>
      </w:r>
      <w:r w:rsidRPr="00D561EB">
        <w:rPr>
          <w:rFonts w:asciiTheme="majorHAnsi" w:hAnsiTheme="majorHAnsi"/>
          <w:i/>
        </w:rPr>
        <w:t>За целите на процедурите по ОПИК е възприето следното определение за реинженеринг на процесите в предприятията: фундаментално преосмисляне и пълно препроектиране на бизнес процесите за достигане на коренни подобрения в основните показатели на предприятието. Примерната последователност на дейностите при реинженеринг на процесите в предприятията включва най-малко: диагностика и измервания на бизнес процесите в предприятието; избор на процесите, които ще бъдат изменени и препроектирани вследствие на реинжинеринга; техническо изготвяне на модел на предлаганото решение-визия; персонализиране на модела спрямо спецификите на предприятието, обучение на персонала; въвеждане на препроектираните процеси (предписанията от реинженеринга) в дейността на предприятието.</w:t>
      </w:r>
    </w:p>
  </w:footnote>
  <w:footnote w:id="9">
    <w:p w:rsidR="006773FE" w:rsidRPr="00070205" w:rsidRDefault="006773FE">
      <w:pPr>
        <w:pStyle w:val="ac"/>
        <w:jc w:val="both"/>
        <w:rPr>
          <w:rFonts w:asciiTheme="majorHAnsi" w:hAnsiTheme="majorHAnsi"/>
        </w:rPr>
      </w:pPr>
      <w:r w:rsidRPr="00070205">
        <w:rPr>
          <w:rStyle w:val="ae"/>
          <w:rFonts w:asciiTheme="majorHAnsi" w:hAnsiTheme="majorHAnsi"/>
        </w:rPr>
        <w:footnoteRef/>
      </w:r>
      <w:r w:rsidRPr="00070205">
        <w:rPr>
          <w:rFonts w:asciiTheme="majorHAnsi" w:hAnsiTheme="majorHAnsi"/>
        </w:rPr>
        <w:t>Посоченото ограничение не се отнася за дейности за разработване/придобиване и въвеждане на ИКТ базирани софтуери за управление на бизнес процесите в предприятията, за които е допустимо да бъдат единствена дейност по проектното предложение.</w:t>
      </w:r>
    </w:p>
  </w:footnote>
  <w:footnote w:id="10">
    <w:p w:rsidR="006773FE" w:rsidRDefault="006773FE" w:rsidP="00D01902">
      <w:pPr>
        <w:pStyle w:val="ac"/>
        <w:jc w:val="both"/>
      </w:pPr>
      <w:r>
        <w:rPr>
          <w:rStyle w:val="ae"/>
        </w:rPr>
        <w:footnoteRef/>
      </w:r>
      <w:r w:rsidRPr="00D01902">
        <w:rPr>
          <w:rFonts w:asciiTheme="majorHAnsi" w:hAnsiTheme="majorHAnsi"/>
          <w:i/>
        </w:rPr>
        <w:t>В съответствие с чл. 125, пар. 5 от Регламент (ЕС, ЕВРАТОМ) № 966/2012 г. печалбата се определя като надвишаването на постъпленията спрямо допустимите разходи направени от бенефициента по съответния проект в момента на предявяване на искане за окончателно плащане на отпусната по проекта безвъзмездна помощ. Посочените постъпления се ограничават до прихода, генериран от дейностите по проекта.</w:t>
      </w:r>
    </w:p>
  </w:footnote>
  <w:footnote w:id="11">
    <w:p w:rsidR="006773FE" w:rsidRDefault="006773FE" w:rsidP="003F2B33">
      <w:pPr>
        <w:pStyle w:val="ac"/>
        <w:jc w:val="both"/>
      </w:pPr>
      <w:r>
        <w:rPr>
          <w:rStyle w:val="ae"/>
        </w:rPr>
        <w:footnoteRef/>
      </w:r>
      <w:r w:rsidRPr="003F2B33">
        <w:rPr>
          <w:rFonts w:asciiTheme="majorHAnsi" w:hAnsiTheme="majorHAnsi"/>
          <w:i/>
        </w:rPr>
        <w:t>Производител или първи доставчик е предприятие, чиято обичайна дейност е съответно производство или доставка на нови дълготрайни активи, които не са завеждани като ДМА/ДНА преди закупуването им от получателя на помощта. За допустими ще се считат тези активи, които са нови, не са били използвани от доставчика и не са били обект на повече от една покупко-продажба (между производителя и първия доставчик), преди закупуването им от получателя на помощта</w:t>
      </w:r>
      <w:r>
        <w:t xml:space="preserve">.  </w:t>
      </w:r>
    </w:p>
  </w:footnote>
  <w:footnote w:id="12">
    <w:p w:rsidR="006773FE" w:rsidRDefault="006773FE">
      <w:pPr>
        <w:pStyle w:val="ac"/>
        <w:jc w:val="both"/>
      </w:pPr>
      <w:r>
        <w:rPr>
          <w:rStyle w:val="ae"/>
        </w:rPr>
        <w:footnoteRef/>
      </w:r>
      <w:r w:rsidRPr="00E023D5">
        <w:t>SaaS (Software as a service) е модел на доставка на софтуер, при който софтуерът и асоциираните данни са хоствани централно (напр. в облак) и са достъпни за потребителите, чрез клиентска програма, обикновено с използване на уеб браузър през интернет.</w:t>
      </w:r>
    </w:p>
  </w:footnote>
  <w:footnote w:id="13">
    <w:p w:rsidR="006773FE" w:rsidRDefault="006773FE">
      <w:pPr>
        <w:pStyle w:val="ac"/>
        <w:jc w:val="both"/>
      </w:pPr>
      <w:r>
        <w:rPr>
          <w:rStyle w:val="ae"/>
        </w:rPr>
        <w:footnoteRef/>
      </w:r>
      <w:r w:rsidRPr="00D250C7">
        <w:t>Посоченото ограничение не се отнася за разходите за придобиване на ИКТ базирани софтуери за управление на бизнес процесите в предприятията, които също представляват дълготрайни нематериални активи (ДНА).</w:t>
      </w:r>
    </w:p>
  </w:footnote>
  <w:footnote w:id="14">
    <w:p w:rsidR="006773FE" w:rsidRDefault="006773FE" w:rsidP="00F72947">
      <w:pPr>
        <w:spacing w:after="0" w:line="240" w:lineRule="auto"/>
        <w:jc w:val="both"/>
      </w:pPr>
      <w:r>
        <w:rPr>
          <w:rStyle w:val="ae"/>
        </w:rPr>
        <w:footnoteRef/>
      </w:r>
      <w:r>
        <w:t xml:space="preserve"> Настоящият регламент се прилага за помощите, предоставяни на предприятия от всички сектори, с изключение на: а) помощите, предоставяни на предприятия, които извършват дейност в сектора на рибарството и аквакултурите, обхванати от Регламент (ЕО) № 104/2000 на Съвета (1); б) помощите, предоставяни на предприятия, които извършват дейност в областта на първичното производство на селскостопански продукти; в) помощите, предоставяни на предприятия, които извършват дейности в сектора на преработката и търговията със селскостопански продукти, в следните случаи: i) когато размерът на помощта е определен въз основа на цените или количествата на този вид продукти, изкупувани от първичните производители или предлагани на пазара от съответните предприятия; ii) когато помощта е свързана със задължението да бъде прехвърлена частично или изцяло на първичните производители; г) помощите за дейности, свързани с износ за трети държави или държави членки, по-конкретно помощите, пряко свързани с изнасяните количества, със създаването и функционирането на дистрибуторска мрежа или с други текущи разходи, свързани с износа; д) помощите, подчинени на преференциалното използване на национални продукти спрямо вносни такива.</w:t>
      </w:r>
    </w:p>
  </w:footnote>
  <w:footnote w:id="15">
    <w:p w:rsidR="006773FE" w:rsidRPr="008F2844" w:rsidRDefault="006773FE" w:rsidP="008F2844">
      <w:pPr>
        <w:pStyle w:val="Default"/>
        <w:rPr>
          <w:rFonts w:asciiTheme="majorHAnsi" w:eastAsiaTheme="minorHAnsi" w:hAnsiTheme="majorHAnsi"/>
          <w:i/>
          <w:sz w:val="20"/>
          <w:szCs w:val="22"/>
        </w:rPr>
      </w:pPr>
      <w:r w:rsidRPr="008F2844">
        <w:rPr>
          <w:rStyle w:val="ae"/>
          <w:rFonts w:asciiTheme="majorHAnsi" w:hAnsiTheme="majorHAnsi"/>
          <w:sz w:val="22"/>
        </w:rPr>
        <w:footnoteRef/>
      </w:r>
      <w:r w:rsidRPr="008F2844">
        <w:rPr>
          <w:rFonts w:asciiTheme="majorHAnsi" w:eastAsiaTheme="minorHAnsi" w:hAnsiTheme="majorHAnsi"/>
          <w:i/>
          <w:sz w:val="20"/>
          <w:szCs w:val="22"/>
        </w:rPr>
        <w:t xml:space="preserve">Съгласно чл.2, пар.2 на Регламент (ЕС) №1407/2013 едно и също предприятие“ означава всички предприятия, които поддържат помежду си поне един вид от следните взаимоотношения: </w:t>
      </w:r>
    </w:p>
    <w:p w:rsidR="006773FE" w:rsidRPr="008F2844" w:rsidRDefault="006773FE" w:rsidP="008F2844">
      <w:pPr>
        <w:autoSpaceDE w:val="0"/>
        <w:autoSpaceDN w:val="0"/>
        <w:adjustRightInd w:val="0"/>
        <w:spacing w:after="0" w:line="240" w:lineRule="auto"/>
        <w:rPr>
          <w:rFonts w:asciiTheme="majorHAnsi" w:hAnsiTheme="majorHAnsi" w:cs="Times New Roman"/>
          <w:i/>
          <w:color w:val="000000"/>
          <w:sz w:val="20"/>
        </w:rPr>
      </w:pPr>
      <w:r w:rsidRPr="008F2844">
        <w:rPr>
          <w:rFonts w:asciiTheme="majorHAnsi" w:hAnsiTheme="majorHAnsi" w:cs="Times New Roman"/>
          <w:i/>
          <w:color w:val="000000"/>
          <w:sz w:val="20"/>
        </w:rPr>
        <w:t xml:space="preserve">а) дадено предприятие притежава мнозинството от гласовете на акционерите или съдружниците в друго предприятие; </w:t>
      </w:r>
    </w:p>
    <w:p w:rsidR="006773FE" w:rsidRPr="008F2844" w:rsidRDefault="006773FE" w:rsidP="008F2844">
      <w:pPr>
        <w:autoSpaceDE w:val="0"/>
        <w:autoSpaceDN w:val="0"/>
        <w:adjustRightInd w:val="0"/>
        <w:spacing w:after="0" w:line="240" w:lineRule="auto"/>
        <w:rPr>
          <w:rFonts w:asciiTheme="majorHAnsi" w:hAnsiTheme="majorHAnsi" w:cs="Times New Roman"/>
          <w:i/>
          <w:color w:val="000000"/>
          <w:sz w:val="20"/>
        </w:rPr>
      </w:pPr>
      <w:r w:rsidRPr="008F2844">
        <w:rPr>
          <w:rFonts w:asciiTheme="majorHAnsi" w:hAnsiTheme="majorHAnsi" w:cs="Times New Roman"/>
          <w:i/>
          <w:color w:val="000000"/>
          <w:sz w:val="20"/>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rsidR="006773FE" w:rsidRPr="008F2844" w:rsidRDefault="006773FE" w:rsidP="008F2844">
      <w:pPr>
        <w:autoSpaceDE w:val="0"/>
        <w:autoSpaceDN w:val="0"/>
        <w:adjustRightInd w:val="0"/>
        <w:spacing w:after="0" w:line="240" w:lineRule="auto"/>
        <w:rPr>
          <w:rFonts w:asciiTheme="majorHAnsi" w:hAnsiTheme="majorHAnsi" w:cs="Times New Roman"/>
          <w:i/>
          <w:color w:val="000000"/>
          <w:sz w:val="20"/>
        </w:rPr>
      </w:pPr>
      <w:r w:rsidRPr="008F2844">
        <w:rPr>
          <w:rFonts w:asciiTheme="majorHAnsi" w:hAnsiTheme="majorHAnsi" w:cs="Times New Roman"/>
          <w:i/>
          <w:color w:val="000000"/>
          <w:sz w:val="20"/>
        </w:rP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 </w:t>
      </w:r>
    </w:p>
    <w:p w:rsidR="006773FE" w:rsidRPr="008F2844" w:rsidRDefault="006773FE" w:rsidP="008F2844">
      <w:pPr>
        <w:autoSpaceDE w:val="0"/>
        <w:autoSpaceDN w:val="0"/>
        <w:adjustRightInd w:val="0"/>
        <w:spacing w:after="0" w:line="240" w:lineRule="auto"/>
        <w:rPr>
          <w:rFonts w:asciiTheme="majorHAnsi" w:hAnsiTheme="majorHAnsi" w:cs="Times New Roman"/>
          <w:i/>
          <w:color w:val="000000"/>
          <w:sz w:val="20"/>
        </w:rPr>
      </w:pPr>
      <w:r w:rsidRPr="008F2844">
        <w:rPr>
          <w:rFonts w:asciiTheme="majorHAnsi" w:hAnsiTheme="majorHAnsi" w:cs="Times New Roman"/>
          <w:i/>
          <w:color w:val="000000"/>
          <w:sz w:val="20"/>
        </w:rP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 </w:t>
      </w:r>
    </w:p>
    <w:p w:rsidR="006773FE" w:rsidRDefault="006773FE" w:rsidP="008F2844">
      <w:pPr>
        <w:pStyle w:val="ac"/>
      </w:pPr>
      <w:r w:rsidRPr="008F2844">
        <w:rPr>
          <w:rFonts w:asciiTheme="majorHAnsi" w:eastAsiaTheme="minorHAnsi" w:hAnsiTheme="majorHAnsi"/>
          <w:i/>
          <w:color w:val="000000"/>
          <w:szCs w:val="22"/>
        </w:rPr>
        <w:t>Предприятия, поддържащи едно от взаимоотношенията, посочени в алинея първа, букви а) — г), посредством едно или няколко други предприятия, също се разглеждат като едно и също предприятие</w:t>
      </w:r>
    </w:p>
  </w:footnote>
  <w:footnote w:id="16">
    <w:p w:rsidR="006773FE" w:rsidRDefault="006773FE">
      <w:pPr>
        <w:pStyle w:val="ac"/>
      </w:pPr>
      <w:r>
        <w:rPr>
          <w:rStyle w:val="ae"/>
        </w:rPr>
        <w:footnoteRef/>
      </w:r>
      <w:r>
        <w:t xml:space="preserve"> Под три бюджетни години се има предвид текущата  бюджетна година и предходните две.</w:t>
      </w:r>
    </w:p>
  </w:footnote>
  <w:footnote w:id="17">
    <w:p w:rsidR="006773FE" w:rsidRPr="002D2EEE" w:rsidRDefault="006773FE">
      <w:pPr>
        <w:pStyle w:val="ac"/>
        <w:rPr>
          <w:rFonts w:asciiTheme="majorHAnsi" w:hAnsiTheme="majorHAnsi"/>
        </w:rPr>
      </w:pPr>
      <w:r w:rsidRPr="002D2EEE">
        <w:rPr>
          <w:rStyle w:val="ae"/>
          <w:rFonts w:asciiTheme="majorHAnsi" w:hAnsiTheme="majorHAnsi"/>
        </w:rPr>
        <w:footnoteRef/>
      </w:r>
      <w:hyperlink r:id="rId1" w:history="1">
        <w:r w:rsidRPr="002D2EEE">
          <w:rPr>
            <w:rStyle w:val="af3"/>
            <w:rFonts w:asciiTheme="majorHAnsi" w:hAnsiTheme="majorHAnsi"/>
          </w:rPr>
          <w:t>http://www.mig-kirkovo-zlatograd.com/index.php/about-us/osnovni-dokumenti/pravila-za-rabota</w:t>
        </w:r>
      </w:hyperlink>
    </w:p>
  </w:footnote>
  <w:footnote w:id="18">
    <w:p w:rsidR="006773FE" w:rsidRPr="00AB3677" w:rsidRDefault="006773FE" w:rsidP="005A1B22">
      <w:pPr>
        <w:pStyle w:val="ac"/>
        <w:jc w:val="both"/>
        <w:rPr>
          <w:rFonts w:ascii="Times New Roman" w:hAnsi="Times New Roman"/>
        </w:rPr>
      </w:pPr>
      <w:r>
        <w:rPr>
          <w:rStyle w:val="ae"/>
        </w:rPr>
        <w:footnoteRef/>
      </w:r>
      <w:r w:rsidRPr="00AB3677">
        <w:rPr>
          <w:rFonts w:ascii="Times New Roman" w:hAnsi="Times New Roman"/>
        </w:rPr>
        <w:t xml:space="preserve">Представител на публичния сектор е лице по смисъла на § 1 т. 21  от Допълнителните разпоредби на Наредба 22 от 14.12.2015г. </w:t>
      </w:r>
    </w:p>
    <w:p w:rsidR="006773FE" w:rsidRPr="00A60922" w:rsidRDefault="006773FE" w:rsidP="005A1B22">
      <w:pPr>
        <w:pStyle w:val="ac"/>
      </w:pPr>
    </w:p>
  </w:footnote>
  <w:footnote w:id="19">
    <w:p w:rsidR="006773FE" w:rsidRPr="00CF567E" w:rsidRDefault="006773FE" w:rsidP="005A1B22">
      <w:pPr>
        <w:pStyle w:val="ac"/>
        <w:jc w:val="both"/>
        <w:rPr>
          <w:rFonts w:asciiTheme="majorHAnsi" w:hAnsiTheme="majorHAnsi"/>
          <w:i/>
        </w:rPr>
      </w:pPr>
      <w:r w:rsidRPr="00CF567E">
        <w:rPr>
          <w:rStyle w:val="ae"/>
          <w:rFonts w:asciiTheme="majorHAnsi" w:hAnsiTheme="majorHAnsi"/>
          <w:i/>
        </w:rPr>
        <w:footnoteRef/>
      </w:r>
      <w:r w:rsidRPr="00CF567E">
        <w:rPr>
          <w:rFonts w:asciiTheme="majorHAnsi" w:hAnsiTheme="majorHAnsi"/>
          <w:i/>
        </w:rPr>
        <w:t>При изчисляване на показателите по този раздел следва да се има предвид, че  N, N+1, N+2 и N+3 са прогнозни години, при които N е годината на приключване изпълнението на договора/проекта</w:t>
      </w:r>
    </w:p>
  </w:footnote>
  <w:footnote w:id="20">
    <w:p w:rsidR="006773FE" w:rsidRPr="00CF567E" w:rsidRDefault="006773FE" w:rsidP="005A1B22">
      <w:pPr>
        <w:pStyle w:val="ac"/>
        <w:jc w:val="both"/>
        <w:rPr>
          <w:rFonts w:asciiTheme="majorHAnsi" w:hAnsiTheme="majorHAnsi"/>
          <w:i/>
        </w:rPr>
      </w:pPr>
      <w:r w:rsidRPr="00CF567E">
        <w:rPr>
          <w:rStyle w:val="ae"/>
          <w:rFonts w:asciiTheme="majorHAnsi" w:hAnsiTheme="majorHAnsi"/>
          <w:i/>
        </w:rPr>
        <w:footnoteRef/>
      </w:r>
      <w:r w:rsidRPr="00CF567E">
        <w:rPr>
          <w:rFonts w:asciiTheme="majorHAnsi" w:hAnsiTheme="majorHAnsi"/>
          <w:i/>
        </w:rPr>
        <w:t>Вътрешна норма на възвръщаемост се изчислява чрез стандартна функция на Excel (fn IRR).</w:t>
      </w:r>
    </w:p>
  </w:footnote>
  <w:footnote w:id="21">
    <w:p w:rsidR="006773FE" w:rsidRPr="0040263C" w:rsidRDefault="006773FE" w:rsidP="0040263C">
      <w:pPr>
        <w:pStyle w:val="ac"/>
        <w:jc w:val="both"/>
        <w:rPr>
          <w:rFonts w:asciiTheme="majorHAnsi" w:hAnsiTheme="majorHAnsi"/>
          <w:i/>
        </w:rPr>
      </w:pPr>
      <w:r w:rsidRPr="0040263C">
        <w:rPr>
          <w:rFonts w:asciiTheme="majorHAnsi" w:hAnsiTheme="majorHAnsi"/>
          <w:i/>
          <w:vertAlign w:val="superscript"/>
        </w:rPr>
        <w:footnoteRef/>
      </w:r>
      <w:r w:rsidRPr="0040263C">
        <w:rPr>
          <w:rFonts w:asciiTheme="majorHAnsi" w:hAnsiTheme="majorHAnsi"/>
          <w:i/>
        </w:rPr>
        <w:t>Приоритетно се подкрепят проекти, попадащи в тематичните области на Иновационната стратегия за интелигентна специализация:</w:t>
      </w:r>
      <w:r w:rsidRPr="0040263C">
        <w:rPr>
          <w:rFonts w:asciiTheme="majorHAnsi" w:hAnsiTheme="majorHAnsi"/>
          <w:i/>
        </w:rPr>
        <w:tab/>
        <w:t xml:space="preserve">ИКТ и информатика; </w:t>
      </w:r>
      <w:r w:rsidRPr="0040263C">
        <w:rPr>
          <w:rFonts w:asciiTheme="majorHAnsi" w:hAnsiTheme="majorHAnsi"/>
          <w:i/>
        </w:rPr>
        <w:tab/>
        <w:t>Мехатроника и чисти технологии; Индустрия за здравословен живот и биотехнологии; Нови технологии в креативните и рекреативните индустрии</w:t>
      </w:r>
    </w:p>
  </w:footnote>
  <w:footnote w:id="22">
    <w:p w:rsidR="006773FE" w:rsidRPr="00CF567E" w:rsidRDefault="006773FE" w:rsidP="005A1B22">
      <w:pPr>
        <w:pStyle w:val="ac"/>
        <w:jc w:val="both"/>
        <w:rPr>
          <w:rFonts w:asciiTheme="majorHAnsi" w:hAnsiTheme="majorHAnsi"/>
          <w:i/>
        </w:rPr>
      </w:pPr>
      <w:r w:rsidRPr="0040263C">
        <w:rPr>
          <w:vertAlign w:val="superscript"/>
        </w:rPr>
        <w:footnoteRef/>
      </w:r>
      <w:r w:rsidRPr="00CF567E">
        <w:rPr>
          <w:rFonts w:asciiTheme="majorHAnsi" w:hAnsiTheme="majorHAnsi"/>
          <w:i/>
        </w:rPr>
        <w:t>Съгласно Насоки за интеграция на политиката по околна среда и политиката по изменение на климата в Европейските структурни и инвестиционни фондове – фаза Изпълнение на Споразумението за партньорство и програмите в периода 2014 – 2020 г.</w:t>
      </w:r>
    </w:p>
  </w:footnote>
  <w:footnote w:id="23">
    <w:p w:rsidR="006773FE" w:rsidRPr="00CF567E" w:rsidRDefault="006773FE" w:rsidP="00A820D1">
      <w:pPr>
        <w:pStyle w:val="ac"/>
        <w:rPr>
          <w:rFonts w:asciiTheme="majorHAnsi" w:hAnsiTheme="majorHAnsi"/>
          <w:i/>
        </w:rPr>
      </w:pPr>
      <w:r w:rsidRPr="00CF567E">
        <w:rPr>
          <w:rStyle w:val="ae"/>
          <w:rFonts w:asciiTheme="majorHAnsi" w:hAnsiTheme="majorHAnsi"/>
          <w:i/>
        </w:rPr>
        <w:footnoteRef/>
      </w:r>
      <w:r w:rsidRPr="00CF567E">
        <w:rPr>
          <w:rFonts w:asciiTheme="majorHAnsi" w:hAnsiTheme="majorHAnsi"/>
          <w:i/>
        </w:rPr>
        <w:t>Средносписъчен брой на персонала</w:t>
      </w:r>
    </w:p>
  </w:footnote>
  <w:footnote w:id="24">
    <w:p w:rsidR="006773FE" w:rsidRPr="00CF567E" w:rsidRDefault="006773FE" w:rsidP="00CF567E">
      <w:pPr>
        <w:pStyle w:val="ac"/>
        <w:rPr>
          <w:rFonts w:asciiTheme="majorHAnsi" w:hAnsiTheme="majorHAnsi"/>
          <w:i/>
        </w:rPr>
      </w:pPr>
      <w:r w:rsidRPr="00CF567E">
        <w:rPr>
          <w:rStyle w:val="ae"/>
          <w:rFonts w:asciiTheme="majorHAnsi" w:hAnsiTheme="majorHAnsi"/>
          <w:i/>
        </w:rPr>
        <w:footnoteRef/>
      </w:r>
      <w:r w:rsidRPr="00CF567E">
        <w:rPr>
          <w:rFonts w:asciiTheme="majorHAnsi" w:hAnsiTheme="majorHAnsi"/>
          <w:i/>
        </w:rPr>
        <w:t>Тези сектори са</w:t>
      </w:r>
      <w:r>
        <w:rPr>
          <w:rFonts w:asciiTheme="majorHAnsi" w:hAnsiTheme="majorHAnsi"/>
          <w:i/>
        </w:rPr>
        <w:t xml:space="preserve">: </w:t>
      </w:r>
      <w:r w:rsidRPr="00CF567E">
        <w:rPr>
          <w:rFonts w:asciiTheme="majorHAnsi" w:hAnsiTheme="majorHAnsi"/>
          <w:i/>
        </w:rPr>
        <w:t xml:space="preserve">  J58 „Издателска дейност“, J59 „Производството на филми и телевизионни предавания, звукозаписване и издаване на музика“, J60 „Радио- и телевизионна дейност“, J61 „Далекосъобщения“, J62 „Дейности в областта на информационните технологии“, J63 „Информационни услуги“,М72 „Научноизследователска и развойна дейност“</w:t>
      </w:r>
    </w:p>
    <w:p w:rsidR="006773FE" w:rsidRDefault="006773FE" w:rsidP="00CF567E">
      <w:pPr>
        <w:pStyle w:val="ac"/>
      </w:pPr>
    </w:p>
  </w:footnote>
  <w:footnote w:id="25">
    <w:p w:rsidR="006773FE" w:rsidRPr="00E62217" w:rsidRDefault="006773FE" w:rsidP="00B65D41">
      <w:pPr>
        <w:pStyle w:val="ac"/>
        <w:jc w:val="both"/>
        <w:rPr>
          <w:rFonts w:asciiTheme="majorHAnsi" w:hAnsiTheme="majorHAnsi"/>
          <w:i/>
        </w:rPr>
      </w:pPr>
      <w:r w:rsidRPr="00E62217">
        <w:rPr>
          <w:rStyle w:val="ae"/>
          <w:rFonts w:asciiTheme="majorHAnsi" w:hAnsiTheme="majorHAnsi"/>
          <w:i/>
        </w:rPr>
        <w:footnoteRef/>
      </w:r>
      <w:r w:rsidRPr="00E62217">
        <w:rPr>
          <w:rFonts w:asciiTheme="majorHAnsi" w:hAnsiTheme="majorHAnsi"/>
          <w:i/>
        </w:rPr>
        <w:t>За целите на настоящите Условия под „лице с право да представлява кандидата“ следва да се разбира официален представител на предприятието.Валиден КЕП</w:t>
      </w:r>
      <w:r>
        <w:rPr>
          <w:rFonts w:asciiTheme="majorHAnsi" w:hAnsiTheme="majorHAnsi"/>
          <w:i/>
        </w:rPr>
        <w:t xml:space="preserve"> </w:t>
      </w:r>
      <w:r w:rsidRPr="00E62217">
        <w:rPr>
          <w:rFonts w:asciiTheme="majorHAnsi" w:hAnsiTheme="majorHAnsi"/>
          <w:i/>
        </w:rPr>
        <w:t>към датата на кандидатстване с титуляр и автор - физическото лице, което е официален  представител на кандидата или КЕП с титуляр юридическото лице-кандидат, като автор на подписа в този случай следва да е официалния представител на предприятието-кандидат</w:t>
      </w:r>
    </w:p>
  </w:footnote>
  <w:footnote w:id="26">
    <w:p w:rsidR="006773FE" w:rsidRDefault="006773FE" w:rsidP="00B65D41">
      <w:pPr>
        <w:pStyle w:val="ac"/>
        <w:jc w:val="both"/>
      </w:pPr>
      <w:r w:rsidRPr="00E62217">
        <w:rPr>
          <w:rStyle w:val="ae"/>
          <w:rFonts w:asciiTheme="majorHAnsi" w:hAnsiTheme="majorHAnsi"/>
          <w:i/>
        </w:rPr>
        <w:footnoteRef/>
      </w:r>
      <w:r w:rsidRPr="00E62217">
        <w:rPr>
          <w:rFonts w:asciiTheme="majorHAnsi" w:hAnsiTheme="majorHAnsi"/>
          <w:i/>
        </w:rPr>
        <w:t>Валиден КЕП към датата на кандидатстване с титуляр и автор - упълномощеното физическо лице или КЕП с титуляр юридическото лице-кандидат, като автор на подписа в този случай следва да е упълномощеното физическо лице или КЕП с титуляр юридическо лице, различно от кандидата, но изрично упоменато в представеното към проектното предложение пълномощно, като автор на подписа в този случай следва да е физическото лице официален представител на  упълномощеното юридическо лице.</w:t>
      </w:r>
    </w:p>
  </w:footnote>
  <w:footnote w:id="27">
    <w:p w:rsidR="006773FE" w:rsidRPr="00E66C71" w:rsidRDefault="006773FE" w:rsidP="00E66C71">
      <w:pPr>
        <w:spacing w:after="0" w:line="240" w:lineRule="auto"/>
        <w:rPr>
          <w:rFonts w:asciiTheme="majorHAnsi" w:hAnsiTheme="majorHAnsi"/>
          <w:sz w:val="20"/>
          <w:szCs w:val="20"/>
        </w:rPr>
      </w:pPr>
      <w:r>
        <w:rPr>
          <w:rStyle w:val="ae"/>
        </w:rPr>
        <w:footnoteRef/>
      </w:r>
      <w:r>
        <w:t xml:space="preserve"> </w:t>
      </w:r>
      <w:r w:rsidRPr="00E66C71">
        <w:rPr>
          <w:rFonts w:asciiTheme="majorHAnsi" w:hAnsiTheme="majorHAnsi"/>
          <w:sz w:val="20"/>
          <w:szCs w:val="20"/>
        </w:rPr>
        <w:t xml:space="preserve">Последна приключила финансова година за </w:t>
      </w:r>
      <w:r w:rsidRPr="00E66C71">
        <w:rPr>
          <w:rFonts w:asciiTheme="majorHAnsi" w:hAnsiTheme="majorHAnsi"/>
          <w:b/>
          <w:i/>
          <w:sz w:val="20"/>
          <w:szCs w:val="20"/>
        </w:rPr>
        <w:t xml:space="preserve">Първи прием </w:t>
      </w:r>
      <w:r w:rsidRPr="00E66C71">
        <w:rPr>
          <w:rFonts w:asciiTheme="majorHAnsi" w:hAnsiTheme="majorHAnsi"/>
          <w:sz w:val="20"/>
          <w:szCs w:val="20"/>
        </w:rPr>
        <w:t xml:space="preserve">е  2017 година, за </w:t>
      </w:r>
      <w:r w:rsidRPr="00E66C71">
        <w:rPr>
          <w:rFonts w:asciiTheme="majorHAnsi" w:hAnsiTheme="majorHAnsi"/>
          <w:b/>
          <w:i/>
          <w:sz w:val="20"/>
          <w:szCs w:val="20"/>
        </w:rPr>
        <w:t>Втори прием</w:t>
      </w:r>
      <w:r w:rsidRPr="00E66C71">
        <w:rPr>
          <w:rFonts w:asciiTheme="majorHAnsi" w:hAnsiTheme="majorHAnsi"/>
          <w:sz w:val="20"/>
          <w:szCs w:val="20"/>
        </w:rPr>
        <w:t xml:space="preserve"> -2018,  за </w:t>
      </w:r>
      <w:r w:rsidRPr="00E66C71">
        <w:rPr>
          <w:rFonts w:asciiTheme="majorHAnsi" w:hAnsiTheme="majorHAnsi"/>
          <w:b/>
          <w:sz w:val="20"/>
          <w:szCs w:val="20"/>
        </w:rPr>
        <w:t>Трети прием</w:t>
      </w:r>
      <w:r w:rsidRPr="00E66C71">
        <w:rPr>
          <w:rFonts w:asciiTheme="majorHAnsi" w:hAnsiTheme="majorHAnsi"/>
          <w:sz w:val="20"/>
          <w:szCs w:val="20"/>
        </w:rPr>
        <w:t xml:space="preserve"> - 2019  година</w:t>
      </w:r>
      <w:r w:rsidRPr="00E66C71">
        <w:rPr>
          <w:rFonts w:asciiTheme="majorHAnsi" w:hAnsiTheme="majorHAnsi"/>
          <w:strike/>
          <w:sz w:val="20"/>
          <w:szCs w:val="20"/>
        </w:rPr>
        <w:t>.</w:t>
      </w:r>
    </w:p>
  </w:footnote>
  <w:footnote w:id="28">
    <w:p w:rsidR="006773FE" w:rsidRPr="00E66C71" w:rsidRDefault="006773FE" w:rsidP="00E66C71">
      <w:pPr>
        <w:pStyle w:val="ac"/>
        <w:jc w:val="both"/>
        <w:rPr>
          <w:rFonts w:asciiTheme="majorHAnsi" w:hAnsiTheme="majorHAnsi"/>
        </w:rPr>
      </w:pPr>
      <w:r w:rsidRPr="00E66C71">
        <w:rPr>
          <w:rStyle w:val="ae"/>
          <w:rFonts w:asciiTheme="majorHAnsi" w:hAnsiTheme="majorHAnsi"/>
        </w:rPr>
        <w:footnoteRef/>
      </w:r>
      <w:r w:rsidRPr="00E66C71">
        <w:rPr>
          <w:rFonts w:asciiTheme="majorHAnsi" w:hAnsiTheme="majorHAnsi"/>
        </w:rPr>
        <w:t xml:space="preserve">В случай че документите са представени на чужд език, то те задължително следва да бъдат придружени от превод на български език. </w:t>
      </w:r>
    </w:p>
    <w:p w:rsidR="006773FE" w:rsidRPr="00E66C71" w:rsidRDefault="006773FE" w:rsidP="00E66C71">
      <w:pPr>
        <w:pStyle w:val="ac"/>
        <w:jc w:val="both"/>
        <w:rPr>
          <w:rFonts w:asciiTheme="majorHAnsi" w:hAnsiTheme="majorHAnsi"/>
        </w:rPr>
      </w:pPr>
      <w:r w:rsidRPr="00E66C71">
        <w:rPr>
          <w:rFonts w:asciiTheme="majorHAnsi" w:hAnsiTheme="majorHAnsi"/>
        </w:rPr>
        <w:t>В случаите, в които в документите не е упоменато дали цената е с включено ДДС се счита:</w:t>
      </w:r>
    </w:p>
    <w:p w:rsidR="006773FE" w:rsidRPr="00E66C71" w:rsidRDefault="006773FE" w:rsidP="00E66C71">
      <w:pPr>
        <w:pStyle w:val="ac"/>
        <w:jc w:val="both"/>
        <w:rPr>
          <w:rFonts w:asciiTheme="majorHAnsi" w:hAnsiTheme="majorHAnsi"/>
        </w:rPr>
      </w:pPr>
      <w:r w:rsidRPr="00E66C71">
        <w:rPr>
          <w:rFonts w:asciiTheme="majorHAnsi" w:hAnsiTheme="majorHAnsi"/>
        </w:rPr>
        <w:t>- при български доставчици - описаната стойност в офертата е с ДДС, т.е. при изчисление на цената е необходимо да се извади ДДС.</w:t>
      </w:r>
    </w:p>
    <w:p w:rsidR="006773FE" w:rsidRPr="00E66C71" w:rsidRDefault="006773FE" w:rsidP="00E66C71">
      <w:pPr>
        <w:pStyle w:val="ac"/>
        <w:jc w:val="both"/>
        <w:rPr>
          <w:rFonts w:asciiTheme="majorHAnsi" w:hAnsiTheme="majorHAnsi"/>
        </w:rPr>
      </w:pPr>
      <w:r w:rsidRPr="00E66C71">
        <w:rPr>
          <w:rFonts w:asciiTheme="majorHAnsi" w:hAnsiTheme="majorHAnsi"/>
        </w:rPr>
        <w:t>- при чуждестранни доставчици - описаната стойност в офертата е без ДДС.</w:t>
      </w:r>
    </w:p>
  </w:footnote>
  <w:footnote w:id="29">
    <w:p w:rsidR="006773FE" w:rsidRPr="00E66C71" w:rsidRDefault="006773FE" w:rsidP="00E66C71">
      <w:pPr>
        <w:pStyle w:val="ac"/>
        <w:jc w:val="both"/>
        <w:rPr>
          <w:rFonts w:asciiTheme="majorHAnsi" w:hAnsiTheme="majorHAnsi"/>
        </w:rPr>
      </w:pPr>
      <w:r w:rsidRPr="00E66C71">
        <w:rPr>
          <w:rStyle w:val="ae"/>
          <w:rFonts w:asciiTheme="majorHAnsi" w:hAnsiTheme="majorHAnsi"/>
        </w:rPr>
        <w:footnoteRef/>
      </w:r>
      <w:r w:rsidRPr="00E66C71">
        <w:rPr>
          <w:rFonts w:asciiTheme="majorHAnsi" w:hAnsiTheme="majorHAnsi"/>
        </w:rPr>
        <w:t>Непредставянето на документа няма да доведе до отхвърляне на проектното предложение, но ще  доведе до редуциране на разходи в бюджета на проектното предложение (т. 5 от Формуляра за кандидатстване).</w:t>
      </w:r>
    </w:p>
  </w:footnote>
  <w:footnote w:id="30">
    <w:p w:rsidR="006773FE" w:rsidRDefault="006773FE" w:rsidP="00846CAC">
      <w:pPr>
        <w:pStyle w:val="ac"/>
        <w:jc w:val="both"/>
      </w:pPr>
      <w:r>
        <w:rPr>
          <w:rStyle w:val="ae"/>
        </w:rPr>
        <w:footnoteRef/>
      </w:r>
      <w:r w:rsidRPr="006A20FA">
        <w:rPr>
          <w:rFonts w:ascii="Times New Roman" w:hAnsi="Times New Roman"/>
        </w:rPr>
        <w:t xml:space="preserve">Посоченият документ е част от Годишния отчет за дейността на кандидата. Съгласно чл. 92, ал. З, чл. 219, ал. 4, чл. 252, ал. 2, чл. 259, ал. З от ЗКПО и чл. 51 от ЗДДФЛ, юридическите и физическите лица заедно с годишната данъчна декларация подават и Годишен отчет за дейността (в сила от 01.01.2010 г.). </w:t>
      </w:r>
    </w:p>
    <w:p w:rsidR="006773FE" w:rsidRDefault="006773FE" w:rsidP="00835F4B">
      <w:pPr>
        <w:pStyle w:val="ac"/>
        <w:jc w:val="both"/>
      </w:pPr>
      <w:r>
        <w:t>Съгласно чл. 29, ал. 3 от Закона за счетоводството (в сила от 01.01.2016 г.) „Годишният финансов отчет на едноличните търговци, на които размерът на нетните приходи от продажби за текущия отчетен период не надхвърля 200 000 лв. и не подлежи на задължителен независим финансов одит, може да се състои само от отчет за приходите и разходите”. В този случай се представя целият отчет за приходите и разходите към Годишния отчет за дейността на кандидата.</w:t>
      </w:r>
    </w:p>
    <w:p w:rsidR="006773FE" w:rsidRPr="000F19E6" w:rsidRDefault="006773FE" w:rsidP="00835F4B">
      <w:pPr>
        <w:pStyle w:val="ac"/>
        <w:jc w:val="both"/>
      </w:pPr>
      <w:r>
        <w:t>Съгласно чл. 32, ал. 3 от Закона за счетоводството (в сила до 01.01.2016 г. ) „Годишните финансови отчети на едноличните търговци, които не подлежат на независим финансов одит и на които размерът на нетните приходи от продажби за текущата година не надхвърля 100 000 лв., могат да се състоят само от отчет за приходите и разходите“. В този случай се представя целият отчет за приходите и разходите към Годишния отчет за дейността на кандидата.</w:t>
      </w:r>
    </w:p>
  </w:footnote>
  <w:footnote w:id="31">
    <w:p w:rsidR="006773FE" w:rsidRPr="00A56692" w:rsidRDefault="006773FE" w:rsidP="005A1B22">
      <w:pPr>
        <w:pStyle w:val="ac"/>
        <w:jc w:val="both"/>
        <w:rPr>
          <w:rFonts w:ascii="Times New Roman" w:hAnsi="Times New Roman"/>
        </w:rPr>
      </w:pPr>
      <w:r w:rsidRPr="00A56692">
        <w:rPr>
          <w:rStyle w:val="ae"/>
          <w:rFonts w:ascii="Times New Roman" w:hAnsi="Times New Roman"/>
        </w:rPr>
        <w:footnoteRef/>
      </w:r>
      <w:r w:rsidRPr="00A56692">
        <w:rPr>
          <w:rFonts w:ascii="Times New Roman" w:hAnsi="Times New Roman"/>
        </w:rPr>
        <w:t xml:space="preserve">Съгласно чл.32, ал.3 от Закона за счетоводството „Годишните финансови отчети на едноличните търговци, които не подлежат на независим финансов одит и на които размерът на нетните приходи от продажби за текущата година не надхвърля </w:t>
      </w:r>
      <w:r>
        <w:rPr>
          <w:rFonts w:ascii="Times New Roman" w:hAnsi="Times New Roman"/>
        </w:rPr>
        <w:t>200 000</w:t>
      </w:r>
      <w:r w:rsidRPr="00A56692">
        <w:rPr>
          <w:rFonts w:ascii="Times New Roman" w:hAnsi="Times New Roman"/>
        </w:rPr>
        <w:t xml:space="preserve"> лв., могат да се състоят само от отчет за приходите и разходите“. В този случай се представя целият отчет за приходите и разходите към Годишния отчет за дейността на кандидата.</w:t>
      </w:r>
    </w:p>
  </w:footnote>
  <w:footnote w:id="32">
    <w:p w:rsidR="006773FE" w:rsidRDefault="006773FE" w:rsidP="005A1B22">
      <w:pPr>
        <w:pStyle w:val="ac"/>
        <w:jc w:val="both"/>
        <w:rPr>
          <w:rFonts w:ascii="Times New Roman" w:hAnsi="Times New Roman"/>
        </w:rPr>
      </w:pPr>
      <w:r w:rsidRPr="00887579">
        <w:rPr>
          <w:rStyle w:val="ae"/>
          <w:rFonts w:ascii="Times New Roman" w:hAnsi="Times New Roman"/>
        </w:rPr>
        <w:footnoteRef/>
      </w:r>
      <w:r w:rsidRPr="00887579">
        <w:rPr>
          <w:rFonts w:ascii="Times New Roman" w:hAnsi="Times New Roman"/>
        </w:rPr>
        <w:t xml:space="preserve">Посоченият документ е част от Годишния отчет за дейността на кандидата. Съгласно чл. 92, ал.З, чл.219, ал.4, чл.252, ал.2, чл.259, ал.З от ЗКПО и чл.51 от ЗДДФЛ, юридическите и физическите лица заедно с годишната данъчна декларация подават и Годишен отчет за дейността (в сила от 01.01.2010 г.). Документът не се изисква за едноличните търговци, които не подлежат на задължителен независим финансов одит и на които размерът на нетните приходи от продажби за текущата година не надхвърля </w:t>
      </w:r>
      <w:r>
        <w:rPr>
          <w:rFonts w:ascii="Times New Roman" w:hAnsi="Times New Roman"/>
        </w:rPr>
        <w:t>200 000</w:t>
      </w:r>
      <w:r w:rsidRPr="00887579">
        <w:rPr>
          <w:rFonts w:ascii="Times New Roman" w:hAnsi="Times New Roman"/>
        </w:rPr>
        <w:t>лв</w:t>
      </w:r>
      <w:r w:rsidRPr="00E97F3A">
        <w:rPr>
          <w:rFonts w:ascii="Times New Roman" w:hAnsi="Times New Roman"/>
          <w:lang w:val="ru-RU"/>
        </w:rPr>
        <w:t xml:space="preserve">. </w:t>
      </w:r>
      <w:r w:rsidRPr="00887579">
        <w:rPr>
          <w:rFonts w:ascii="Times New Roman" w:hAnsi="Times New Roman"/>
        </w:rPr>
        <w:t>В този случай се представя Справка заети лица към Отчета за приходи и разходи към Годишния отчет за дейността.</w:t>
      </w:r>
    </w:p>
    <w:p w:rsidR="006773FE" w:rsidRPr="00887579" w:rsidRDefault="006773FE" w:rsidP="005A1B22">
      <w:pPr>
        <w:pStyle w:val="ac"/>
        <w:jc w:val="both"/>
        <w:rPr>
          <w:rFonts w:ascii="Times New Roman" w:hAnsi="Times New Roman"/>
        </w:rPr>
      </w:pPr>
    </w:p>
  </w:footnote>
  <w:footnote w:id="33">
    <w:p w:rsidR="006773FE" w:rsidRPr="00887579" w:rsidRDefault="006773FE" w:rsidP="005A1B22">
      <w:pPr>
        <w:pStyle w:val="ac"/>
        <w:jc w:val="both"/>
        <w:rPr>
          <w:rFonts w:ascii="Times New Roman" w:hAnsi="Times New Roman"/>
        </w:rPr>
      </w:pPr>
      <w:r w:rsidRPr="00887579">
        <w:rPr>
          <w:rStyle w:val="ae"/>
          <w:rFonts w:ascii="Times New Roman" w:hAnsi="Times New Roman"/>
        </w:rPr>
        <w:footnoteRef/>
      </w:r>
      <w:r w:rsidRPr="00887579">
        <w:rPr>
          <w:rFonts w:ascii="Times New Roman" w:hAnsi="Times New Roman"/>
        </w:rPr>
        <w:t xml:space="preserve">Посоченият документ е част от Годишния отчет за дейността на кандидата. Съгласно чл. 92, ал.З, чл.219, ал.4, чл.252, ал.2, чл.259, ал.З от ЗКПО и чл.51 от ЗДДФЛ, юридическите и физическите лица заедно с годишната данъчна декларация подават и Годишен отчет за дейността (в сила от 01.01.2010 г.). Документът не се изисква за едноличните търговци, които не подлежат на задължителен независим финансов одит и на които размерът на нетните приходи от продажби за текущата година не надхвърля </w:t>
      </w:r>
      <w:r>
        <w:rPr>
          <w:rFonts w:ascii="Times New Roman" w:hAnsi="Times New Roman"/>
        </w:rPr>
        <w:t>200 000</w:t>
      </w:r>
      <w:r w:rsidRPr="00887579">
        <w:rPr>
          <w:rFonts w:ascii="Times New Roman" w:hAnsi="Times New Roman"/>
        </w:rPr>
        <w:t>лв</w:t>
      </w:r>
      <w:r w:rsidRPr="00E97F3A">
        <w:rPr>
          <w:rFonts w:ascii="Times New Roman" w:hAnsi="Times New Roman"/>
          <w:lang w:val="ru-RU"/>
        </w:rPr>
        <w:t xml:space="preserve">. </w:t>
      </w:r>
      <w:r w:rsidRPr="00887579">
        <w:rPr>
          <w:rFonts w:ascii="Times New Roman" w:hAnsi="Times New Roman"/>
        </w:rPr>
        <w:t>В този случай се представя Справка дълготрайни материални и нематериални активи към Отчета за приходи и разходи.</w:t>
      </w:r>
    </w:p>
  </w:footnote>
  <w:footnote w:id="34">
    <w:p w:rsidR="006773FE" w:rsidRPr="007A59AE" w:rsidRDefault="006773FE" w:rsidP="005A1B22">
      <w:pPr>
        <w:pStyle w:val="ac"/>
        <w:jc w:val="both"/>
        <w:rPr>
          <w:rFonts w:asciiTheme="majorHAnsi" w:hAnsiTheme="majorHAnsi"/>
          <w:i/>
        </w:rPr>
      </w:pPr>
      <w:r w:rsidRPr="007A59AE">
        <w:rPr>
          <w:rStyle w:val="ae"/>
          <w:rFonts w:asciiTheme="majorHAnsi" w:hAnsiTheme="majorHAnsi"/>
          <w:i/>
        </w:rPr>
        <w:footnoteRef/>
      </w:r>
      <w:r w:rsidRPr="007A59AE">
        <w:rPr>
          <w:rFonts w:asciiTheme="majorHAnsi" w:hAnsiTheme="majorHAnsi"/>
          <w:i/>
        </w:rPr>
        <w:t>Непредставянето на съответния документ няма да доведе до отхвърляне на проектното предложение, но може да доведе до получаване на по-малък брой точки по критерий</w:t>
      </w:r>
      <w:r w:rsidRPr="007A59AE">
        <w:rPr>
          <w:rFonts w:asciiTheme="majorHAnsi" w:hAnsiTheme="majorHAnsi"/>
          <w:i/>
          <w:lang w:val="ru-RU"/>
        </w:rPr>
        <w:t xml:space="preserve"> “Внедрени</w:t>
      </w:r>
      <w:r>
        <w:rPr>
          <w:rFonts w:asciiTheme="majorHAnsi" w:hAnsiTheme="majorHAnsi"/>
          <w:i/>
          <w:lang w:val="ru-RU"/>
        </w:rPr>
        <w:t xml:space="preserve"> </w:t>
      </w:r>
      <w:r w:rsidRPr="007A59AE">
        <w:rPr>
          <w:rFonts w:asciiTheme="majorHAnsi" w:hAnsiTheme="majorHAnsi"/>
          <w:i/>
          <w:lang w:val="ru-RU"/>
        </w:rPr>
        <w:t>стандарти и системи за управление”</w:t>
      </w:r>
      <w:r w:rsidRPr="007A59AE">
        <w:rPr>
          <w:rFonts w:asciiTheme="majorHAnsi" w:hAnsiTheme="majorHAnsi"/>
          <w:i/>
        </w:rPr>
        <w:t>.</w:t>
      </w:r>
    </w:p>
    <w:p w:rsidR="006773FE" w:rsidRDefault="006773FE" w:rsidP="005A1B22">
      <w:pPr>
        <w:pStyle w:val="ac"/>
      </w:pPr>
    </w:p>
  </w:footnote>
  <w:footnote w:id="35">
    <w:p w:rsidR="006773FE" w:rsidRPr="00E52561" w:rsidRDefault="006773FE" w:rsidP="005A1B22">
      <w:pPr>
        <w:pStyle w:val="ac"/>
        <w:jc w:val="both"/>
        <w:rPr>
          <w:rFonts w:ascii="Times New Roman" w:hAnsi="Times New Roman"/>
        </w:rPr>
      </w:pPr>
      <w:r w:rsidRPr="00E52561">
        <w:rPr>
          <w:rStyle w:val="ae"/>
          <w:rFonts w:ascii="Times New Roman" w:hAnsi="Times New Roman"/>
        </w:rPr>
        <w:footnoteRef/>
      </w:r>
      <w:r w:rsidRPr="00E52561">
        <w:rPr>
          <w:rFonts w:ascii="Times New Roman" w:hAnsi="Times New Roman"/>
        </w:rPr>
        <w:t xml:space="preserve">Съгласно чл. 32, ал. 3 от Закона за счетоводството „Годишните финансови отчети на едноличните търговци, които не подлежат на задължителен независим финансов одит и на които размерът на нетните приходи от продажби за текущата година не надхвърля </w:t>
      </w:r>
      <w:r>
        <w:rPr>
          <w:rFonts w:ascii="Times New Roman" w:hAnsi="Times New Roman"/>
        </w:rPr>
        <w:t>200 000</w:t>
      </w:r>
      <w:r w:rsidRPr="00E52561">
        <w:rPr>
          <w:rFonts w:ascii="Times New Roman" w:hAnsi="Times New Roman"/>
        </w:rPr>
        <w:t xml:space="preserve"> лв., могат да се състоят само от отчет за приходите и разходите”. В този случай се представя целият отчет за приходите и разходите към Годишния отчет за дейността на кандидата.</w:t>
      </w:r>
    </w:p>
  </w:footnote>
  <w:footnote w:id="36">
    <w:p w:rsidR="006773FE" w:rsidRPr="00E52561" w:rsidRDefault="006773FE" w:rsidP="005A1B22">
      <w:pPr>
        <w:pStyle w:val="ac"/>
        <w:jc w:val="both"/>
        <w:rPr>
          <w:rFonts w:ascii="Times New Roman" w:hAnsi="Times New Roman"/>
        </w:rPr>
      </w:pPr>
      <w:r w:rsidRPr="00E52561">
        <w:rPr>
          <w:rStyle w:val="ae"/>
          <w:rFonts w:ascii="Times New Roman" w:hAnsi="Times New Roman"/>
        </w:rPr>
        <w:footnoteRef/>
      </w:r>
      <w:r w:rsidRPr="00E52561">
        <w:rPr>
          <w:rFonts w:ascii="Times New Roman" w:hAnsi="Times New Roman"/>
        </w:rPr>
        <w:t>Когато кандидатът съставя консолидиран финансов отчет или участва в консолидация, следва да бъдат представени консолидирани Отчет за приходите и разходите и Счетоводен баланс за последната приключена финансова година.</w:t>
      </w:r>
    </w:p>
  </w:footnote>
  <w:footnote w:id="37">
    <w:p w:rsidR="006773FE" w:rsidRPr="00AE23CE" w:rsidRDefault="006773FE" w:rsidP="005A1B22">
      <w:pPr>
        <w:pStyle w:val="ac"/>
      </w:pPr>
      <w:r>
        <w:rPr>
          <w:rStyle w:val="ae"/>
        </w:rPr>
        <w:footnoteRef/>
      </w:r>
      <w:r w:rsidRPr="00E52561">
        <w:rPr>
          <w:rFonts w:ascii="Times New Roman" w:hAnsi="Times New Roman"/>
        </w:rPr>
        <w:t xml:space="preserve">Посоченият документ е част от Годишния отчет за дейността на кандидата. Съгласно чл. 92, ал. З, чл. 219, ал. 4, чл. 252, ал. 2, чл. 259, ал. З от ЗКПО и чл. 51 от ЗДДФЛ, юридическите и физическите лица заедно с годишната данъчна декларация подават и Годишен отчет за дейността (в сила от 01.01.2010 г.). Документът не се изисква за едноличните търговци, които не подлежат на задължителен независим финансов одит и на които размерът на нетните приходи от продажби за текущата година не надхвърля </w:t>
      </w:r>
      <w:r>
        <w:rPr>
          <w:rFonts w:ascii="Times New Roman" w:hAnsi="Times New Roman"/>
        </w:rPr>
        <w:t>200 000</w:t>
      </w:r>
      <w:r w:rsidRPr="00E52561">
        <w:rPr>
          <w:rFonts w:ascii="Times New Roman" w:hAnsi="Times New Roman"/>
        </w:rPr>
        <w:t xml:space="preserve"> лв. В този случай се представя Справка заети лица към Отчета за приходи и разходи към Годишния отчет за дейността.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6706E6F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C36ED91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308480A2"/>
    <w:lvl w:ilvl="0">
      <w:start w:val="1"/>
      <w:numFmt w:val="bullet"/>
      <w:pStyle w:val="2"/>
      <w:lvlText w:val=""/>
      <w:lvlJc w:val="left"/>
      <w:pPr>
        <w:tabs>
          <w:tab w:val="num" w:pos="502"/>
        </w:tabs>
        <w:ind w:left="502" w:hanging="360"/>
      </w:pPr>
      <w:rPr>
        <w:rFonts w:ascii="Symbol" w:hAnsi="Symbol" w:hint="default"/>
      </w:rPr>
    </w:lvl>
  </w:abstractNum>
  <w:abstractNum w:abstractNumId="3">
    <w:nsid w:val="FFFFFF89"/>
    <w:multiLevelType w:val="singleLevel"/>
    <w:tmpl w:val="AF4ED880"/>
    <w:lvl w:ilvl="0">
      <w:start w:val="1"/>
      <w:numFmt w:val="bullet"/>
      <w:pStyle w:val="a"/>
      <w:lvlText w:val=""/>
      <w:lvlJc w:val="left"/>
      <w:pPr>
        <w:tabs>
          <w:tab w:val="num" w:pos="360"/>
        </w:tabs>
        <w:ind w:left="360" w:hanging="360"/>
      </w:pPr>
      <w:rPr>
        <w:rFonts w:ascii="Symbol" w:hAnsi="Symbol" w:hint="default"/>
      </w:rPr>
    </w:lvl>
  </w:abstractNum>
  <w:abstractNum w:abstractNumId="4">
    <w:nsid w:val="041C4A88"/>
    <w:multiLevelType w:val="hybridMultilevel"/>
    <w:tmpl w:val="AED82B4C"/>
    <w:lvl w:ilvl="0" w:tplc="A4889A94">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A092D7A"/>
    <w:multiLevelType w:val="hybridMultilevel"/>
    <w:tmpl w:val="A998C71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D6F1E66"/>
    <w:multiLevelType w:val="hybridMultilevel"/>
    <w:tmpl w:val="18F85272"/>
    <w:lvl w:ilvl="0" w:tplc="034AA93E">
      <w:start w:val="17"/>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0ECB3CC9"/>
    <w:multiLevelType w:val="hybridMultilevel"/>
    <w:tmpl w:val="46BA9B34"/>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8">
    <w:nsid w:val="0F863C8B"/>
    <w:multiLevelType w:val="hybridMultilevel"/>
    <w:tmpl w:val="B83675E4"/>
    <w:lvl w:ilvl="0" w:tplc="3B3AAFBE">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8A46F28"/>
    <w:multiLevelType w:val="hybridMultilevel"/>
    <w:tmpl w:val="282465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8E25859"/>
    <w:multiLevelType w:val="hybridMultilevel"/>
    <w:tmpl w:val="40A420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B2178EF"/>
    <w:multiLevelType w:val="hybridMultilevel"/>
    <w:tmpl w:val="69FC46CE"/>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C49611B"/>
    <w:multiLevelType w:val="hybridMultilevel"/>
    <w:tmpl w:val="3462DF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E500A13"/>
    <w:multiLevelType w:val="hybridMultilevel"/>
    <w:tmpl w:val="77A2FD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1F261BF3"/>
    <w:multiLevelType w:val="hybridMultilevel"/>
    <w:tmpl w:val="E200BA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7C56F11"/>
    <w:multiLevelType w:val="hybridMultilevel"/>
    <w:tmpl w:val="F9D885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A117BE1"/>
    <w:multiLevelType w:val="hybridMultilevel"/>
    <w:tmpl w:val="41BC5A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3D833E5"/>
    <w:multiLevelType w:val="hybridMultilevel"/>
    <w:tmpl w:val="523AD95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3FE4C6E"/>
    <w:multiLevelType w:val="hybridMultilevel"/>
    <w:tmpl w:val="73483180"/>
    <w:lvl w:ilvl="0" w:tplc="78CEDEF8">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FD34EB5"/>
    <w:multiLevelType w:val="hybridMultilevel"/>
    <w:tmpl w:val="C11268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409009E8"/>
    <w:multiLevelType w:val="hybridMultilevel"/>
    <w:tmpl w:val="CA4E9E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62C0E51"/>
    <w:multiLevelType w:val="hybridMultilevel"/>
    <w:tmpl w:val="7E9CAA7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930621B"/>
    <w:multiLevelType w:val="hybridMultilevel"/>
    <w:tmpl w:val="478A0740"/>
    <w:lvl w:ilvl="0" w:tplc="AB4E52AE">
      <w:start w:val="10"/>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CDC23B4"/>
    <w:multiLevelType w:val="hybridMultilevel"/>
    <w:tmpl w:val="B13AA6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DF837FC"/>
    <w:multiLevelType w:val="hybridMultilevel"/>
    <w:tmpl w:val="CA06C960"/>
    <w:lvl w:ilvl="0" w:tplc="630E798E">
      <w:start w:val="10"/>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6E341FA0"/>
    <w:multiLevelType w:val="hybridMultilevel"/>
    <w:tmpl w:val="1FD8FC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45F3DDA"/>
    <w:multiLevelType w:val="hybridMultilevel"/>
    <w:tmpl w:val="6FC09A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76532A67"/>
    <w:multiLevelType w:val="hybridMultilevel"/>
    <w:tmpl w:val="E990E290"/>
    <w:lvl w:ilvl="0" w:tplc="8F5E8ED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6AD2CD0"/>
    <w:multiLevelType w:val="hybridMultilevel"/>
    <w:tmpl w:val="E8C4292A"/>
    <w:lvl w:ilvl="0" w:tplc="61F092AA">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15"/>
  </w:num>
  <w:num w:numId="4">
    <w:abstractNumId w:val="21"/>
  </w:num>
  <w:num w:numId="5">
    <w:abstractNumId w:val="13"/>
  </w:num>
  <w:num w:numId="6">
    <w:abstractNumId w:val="12"/>
  </w:num>
  <w:num w:numId="7">
    <w:abstractNumId w:val="16"/>
  </w:num>
  <w:num w:numId="8">
    <w:abstractNumId w:val="20"/>
  </w:num>
  <w:num w:numId="9">
    <w:abstractNumId w:val="5"/>
  </w:num>
  <w:num w:numId="10">
    <w:abstractNumId w:val="22"/>
  </w:num>
  <w:num w:numId="11">
    <w:abstractNumId w:val="3"/>
  </w:num>
  <w:num w:numId="12">
    <w:abstractNumId w:val="2"/>
  </w:num>
  <w:num w:numId="13">
    <w:abstractNumId w:val="1"/>
  </w:num>
  <w:num w:numId="14">
    <w:abstractNumId w:val="0"/>
  </w:num>
  <w:num w:numId="15">
    <w:abstractNumId w:val="26"/>
  </w:num>
  <w:num w:numId="16">
    <w:abstractNumId w:val="28"/>
  </w:num>
  <w:num w:numId="17">
    <w:abstractNumId w:val="11"/>
  </w:num>
  <w:num w:numId="18">
    <w:abstractNumId w:val="17"/>
  </w:num>
  <w:num w:numId="19">
    <w:abstractNumId w:val="7"/>
  </w:num>
  <w:num w:numId="20">
    <w:abstractNumId w:val="14"/>
  </w:num>
  <w:num w:numId="21">
    <w:abstractNumId w:val="23"/>
  </w:num>
  <w:num w:numId="22">
    <w:abstractNumId w:val="25"/>
  </w:num>
  <w:num w:numId="23">
    <w:abstractNumId w:val="27"/>
  </w:num>
  <w:num w:numId="24">
    <w:abstractNumId w:val="19"/>
  </w:num>
  <w:num w:numId="25">
    <w:abstractNumId w:val="18"/>
  </w:num>
  <w:num w:numId="26">
    <w:abstractNumId w:val="4"/>
  </w:num>
  <w:num w:numId="27">
    <w:abstractNumId w:val="8"/>
  </w:num>
  <w:num w:numId="28">
    <w:abstractNumId w:val="6"/>
  </w:num>
  <w:num w:numId="29">
    <w:abstractNumId w:val="2"/>
  </w:num>
  <w:num w:numId="30">
    <w:abstractNumId w:val="10"/>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916426"/>
    <w:rsid w:val="00003A9F"/>
    <w:rsid w:val="00016BBF"/>
    <w:rsid w:val="000179E6"/>
    <w:rsid w:val="00025E18"/>
    <w:rsid w:val="00027F04"/>
    <w:rsid w:val="000338A9"/>
    <w:rsid w:val="000354A2"/>
    <w:rsid w:val="0004401F"/>
    <w:rsid w:val="00055F98"/>
    <w:rsid w:val="00061B0B"/>
    <w:rsid w:val="00064AE9"/>
    <w:rsid w:val="0006508D"/>
    <w:rsid w:val="00070205"/>
    <w:rsid w:val="00071916"/>
    <w:rsid w:val="00094E1B"/>
    <w:rsid w:val="000962BC"/>
    <w:rsid w:val="000967F8"/>
    <w:rsid w:val="000A2414"/>
    <w:rsid w:val="000B4EAE"/>
    <w:rsid w:val="000B7942"/>
    <w:rsid w:val="000C2206"/>
    <w:rsid w:val="000C4748"/>
    <w:rsid w:val="000D5538"/>
    <w:rsid w:val="000D5B66"/>
    <w:rsid w:val="000D7346"/>
    <w:rsid w:val="000E5177"/>
    <w:rsid w:val="000E67F3"/>
    <w:rsid w:val="000F0093"/>
    <w:rsid w:val="000F7280"/>
    <w:rsid w:val="000F79D0"/>
    <w:rsid w:val="00104829"/>
    <w:rsid w:val="0010695E"/>
    <w:rsid w:val="00112DB4"/>
    <w:rsid w:val="001139F3"/>
    <w:rsid w:val="00113C90"/>
    <w:rsid w:val="00131B11"/>
    <w:rsid w:val="00131E1B"/>
    <w:rsid w:val="0013793D"/>
    <w:rsid w:val="0014560F"/>
    <w:rsid w:val="00151141"/>
    <w:rsid w:val="00153F60"/>
    <w:rsid w:val="001669B4"/>
    <w:rsid w:val="00174F51"/>
    <w:rsid w:val="00193A74"/>
    <w:rsid w:val="001A5D90"/>
    <w:rsid w:val="001A78EC"/>
    <w:rsid w:val="001B299D"/>
    <w:rsid w:val="001B5E1E"/>
    <w:rsid w:val="001C20D6"/>
    <w:rsid w:val="001C4C39"/>
    <w:rsid w:val="001C57F8"/>
    <w:rsid w:val="001E2F52"/>
    <w:rsid w:val="001E3EB5"/>
    <w:rsid w:val="001E3FFD"/>
    <w:rsid w:val="001E578E"/>
    <w:rsid w:val="002048D2"/>
    <w:rsid w:val="00206201"/>
    <w:rsid w:val="002145CE"/>
    <w:rsid w:val="00221728"/>
    <w:rsid w:val="002265FD"/>
    <w:rsid w:val="002343CD"/>
    <w:rsid w:val="002352E2"/>
    <w:rsid w:val="002402E7"/>
    <w:rsid w:val="00242109"/>
    <w:rsid w:val="00246036"/>
    <w:rsid w:val="00250135"/>
    <w:rsid w:val="002505B4"/>
    <w:rsid w:val="00252786"/>
    <w:rsid w:val="002644DE"/>
    <w:rsid w:val="002659FB"/>
    <w:rsid w:val="002663C2"/>
    <w:rsid w:val="00266E43"/>
    <w:rsid w:val="0027481A"/>
    <w:rsid w:val="002750D4"/>
    <w:rsid w:val="00276A38"/>
    <w:rsid w:val="00276EE2"/>
    <w:rsid w:val="00281783"/>
    <w:rsid w:val="00291378"/>
    <w:rsid w:val="002929BB"/>
    <w:rsid w:val="00296AD8"/>
    <w:rsid w:val="002977D5"/>
    <w:rsid w:val="002B2E3D"/>
    <w:rsid w:val="002B6953"/>
    <w:rsid w:val="002C35BF"/>
    <w:rsid w:val="002D2EEE"/>
    <w:rsid w:val="002D70D1"/>
    <w:rsid w:val="002E01C1"/>
    <w:rsid w:val="002E1C59"/>
    <w:rsid w:val="002E5C13"/>
    <w:rsid w:val="002E6218"/>
    <w:rsid w:val="002E6AAC"/>
    <w:rsid w:val="002F320B"/>
    <w:rsid w:val="002F3F0E"/>
    <w:rsid w:val="003073CF"/>
    <w:rsid w:val="0031568E"/>
    <w:rsid w:val="003161B2"/>
    <w:rsid w:val="00323344"/>
    <w:rsid w:val="003315F7"/>
    <w:rsid w:val="00346DDD"/>
    <w:rsid w:val="00360D30"/>
    <w:rsid w:val="003700D7"/>
    <w:rsid w:val="0037665B"/>
    <w:rsid w:val="003768EC"/>
    <w:rsid w:val="003828F9"/>
    <w:rsid w:val="00382C53"/>
    <w:rsid w:val="00396A03"/>
    <w:rsid w:val="003A0594"/>
    <w:rsid w:val="003A1B93"/>
    <w:rsid w:val="003A1CA8"/>
    <w:rsid w:val="003A5F7B"/>
    <w:rsid w:val="003B0534"/>
    <w:rsid w:val="003B7E25"/>
    <w:rsid w:val="003C06C9"/>
    <w:rsid w:val="003C15A3"/>
    <w:rsid w:val="003D1A12"/>
    <w:rsid w:val="003F1FAA"/>
    <w:rsid w:val="003F2254"/>
    <w:rsid w:val="003F2B33"/>
    <w:rsid w:val="003F394D"/>
    <w:rsid w:val="003F689F"/>
    <w:rsid w:val="0040263C"/>
    <w:rsid w:val="00402D4B"/>
    <w:rsid w:val="00404EA3"/>
    <w:rsid w:val="0040553B"/>
    <w:rsid w:val="00406D2A"/>
    <w:rsid w:val="0044269B"/>
    <w:rsid w:val="00451E28"/>
    <w:rsid w:val="004777BF"/>
    <w:rsid w:val="004778F2"/>
    <w:rsid w:val="00482A33"/>
    <w:rsid w:val="0048600C"/>
    <w:rsid w:val="0048727F"/>
    <w:rsid w:val="00487ABF"/>
    <w:rsid w:val="00492711"/>
    <w:rsid w:val="00492EC6"/>
    <w:rsid w:val="00494AFE"/>
    <w:rsid w:val="004A4290"/>
    <w:rsid w:val="004A58A2"/>
    <w:rsid w:val="004B2D03"/>
    <w:rsid w:val="004B6D4E"/>
    <w:rsid w:val="004C639B"/>
    <w:rsid w:val="004C76DF"/>
    <w:rsid w:val="004D0FC6"/>
    <w:rsid w:val="004D1479"/>
    <w:rsid w:val="004F5C2A"/>
    <w:rsid w:val="00506AFF"/>
    <w:rsid w:val="005220CF"/>
    <w:rsid w:val="00525B20"/>
    <w:rsid w:val="005266B4"/>
    <w:rsid w:val="00541D52"/>
    <w:rsid w:val="00544892"/>
    <w:rsid w:val="005506B9"/>
    <w:rsid w:val="00556960"/>
    <w:rsid w:val="00560ABD"/>
    <w:rsid w:val="005631FD"/>
    <w:rsid w:val="00565DCA"/>
    <w:rsid w:val="0058357F"/>
    <w:rsid w:val="005932EE"/>
    <w:rsid w:val="005A1B22"/>
    <w:rsid w:val="005B60B3"/>
    <w:rsid w:val="005C201C"/>
    <w:rsid w:val="005C7852"/>
    <w:rsid w:val="005D278A"/>
    <w:rsid w:val="005D320E"/>
    <w:rsid w:val="005D6C20"/>
    <w:rsid w:val="005E2D82"/>
    <w:rsid w:val="005E37C5"/>
    <w:rsid w:val="005E6F6D"/>
    <w:rsid w:val="006024A6"/>
    <w:rsid w:val="00602BCC"/>
    <w:rsid w:val="0061037F"/>
    <w:rsid w:val="00615C82"/>
    <w:rsid w:val="00633C4F"/>
    <w:rsid w:val="00652A72"/>
    <w:rsid w:val="00654BAC"/>
    <w:rsid w:val="00663279"/>
    <w:rsid w:val="00664BD9"/>
    <w:rsid w:val="00667024"/>
    <w:rsid w:val="00675931"/>
    <w:rsid w:val="00675D84"/>
    <w:rsid w:val="00676569"/>
    <w:rsid w:val="006773FE"/>
    <w:rsid w:val="00677E09"/>
    <w:rsid w:val="00681983"/>
    <w:rsid w:val="00686439"/>
    <w:rsid w:val="00687485"/>
    <w:rsid w:val="0069612C"/>
    <w:rsid w:val="006963CA"/>
    <w:rsid w:val="006A2F39"/>
    <w:rsid w:val="006A3808"/>
    <w:rsid w:val="006B1E76"/>
    <w:rsid w:val="006C2651"/>
    <w:rsid w:val="006C7FC2"/>
    <w:rsid w:val="006D361E"/>
    <w:rsid w:val="006E12BA"/>
    <w:rsid w:val="006E34EA"/>
    <w:rsid w:val="006E3DFD"/>
    <w:rsid w:val="006F4EE4"/>
    <w:rsid w:val="006F7E13"/>
    <w:rsid w:val="0070036D"/>
    <w:rsid w:val="00704B00"/>
    <w:rsid w:val="007113BE"/>
    <w:rsid w:val="00720D2B"/>
    <w:rsid w:val="00731EBD"/>
    <w:rsid w:val="00734508"/>
    <w:rsid w:val="007411CC"/>
    <w:rsid w:val="0074124B"/>
    <w:rsid w:val="00753B36"/>
    <w:rsid w:val="00755EC3"/>
    <w:rsid w:val="00761808"/>
    <w:rsid w:val="00761DD3"/>
    <w:rsid w:val="00767DD4"/>
    <w:rsid w:val="00780C03"/>
    <w:rsid w:val="00782752"/>
    <w:rsid w:val="00783321"/>
    <w:rsid w:val="00791B22"/>
    <w:rsid w:val="007A0547"/>
    <w:rsid w:val="007A1934"/>
    <w:rsid w:val="007A1B79"/>
    <w:rsid w:val="007A4CB1"/>
    <w:rsid w:val="007A59AE"/>
    <w:rsid w:val="007B0A1C"/>
    <w:rsid w:val="007B2A78"/>
    <w:rsid w:val="007B74F1"/>
    <w:rsid w:val="007C7334"/>
    <w:rsid w:val="007D1E23"/>
    <w:rsid w:val="007D40C3"/>
    <w:rsid w:val="007E1255"/>
    <w:rsid w:val="007E793F"/>
    <w:rsid w:val="007F0892"/>
    <w:rsid w:val="007F1F68"/>
    <w:rsid w:val="007F74B5"/>
    <w:rsid w:val="007F7DAA"/>
    <w:rsid w:val="00806615"/>
    <w:rsid w:val="008119B6"/>
    <w:rsid w:val="008260E8"/>
    <w:rsid w:val="008264AB"/>
    <w:rsid w:val="008311D9"/>
    <w:rsid w:val="00832547"/>
    <w:rsid w:val="00835F4B"/>
    <w:rsid w:val="00836949"/>
    <w:rsid w:val="008442EC"/>
    <w:rsid w:val="00846CAC"/>
    <w:rsid w:val="008559BD"/>
    <w:rsid w:val="00855BFA"/>
    <w:rsid w:val="00856021"/>
    <w:rsid w:val="00863423"/>
    <w:rsid w:val="008654D6"/>
    <w:rsid w:val="00870F7E"/>
    <w:rsid w:val="00872C12"/>
    <w:rsid w:val="00876ABE"/>
    <w:rsid w:val="00876F6C"/>
    <w:rsid w:val="008852F9"/>
    <w:rsid w:val="0089030C"/>
    <w:rsid w:val="00890542"/>
    <w:rsid w:val="008927ED"/>
    <w:rsid w:val="008A05BF"/>
    <w:rsid w:val="008A1E52"/>
    <w:rsid w:val="008A3E5D"/>
    <w:rsid w:val="008A737B"/>
    <w:rsid w:val="008B01CE"/>
    <w:rsid w:val="008C2B68"/>
    <w:rsid w:val="008C4808"/>
    <w:rsid w:val="008D0F29"/>
    <w:rsid w:val="008D7466"/>
    <w:rsid w:val="008E1B5F"/>
    <w:rsid w:val="008E33D1"/>
    <w:rsid w:val="008F2844"/>
    <w:rsid w:val="009030B3"/>
    <w:rsid w:val="00916426"/>
    <w:rsid w:val="00923DE2"/>
    <w:rsid w:val="00936F25"/>
    <w:rsid w:val="009416A1"/>
    <w:rsid w:val="00945D78"/>
    <w:rsid w:val="00955733"/>
    <w:rsid w:val="00955C29"/>
    <w:rsid w:val="00962C1D"/>
    <w:rsid w:val="00965E79"/>
    <w:rsid w:val="009763B3"/>
    <w:rsid w:val="00980337"/>
    <w:rsid w:val="00995E96"/>
    <w:rsid w:val="00996466"/>
    <w:rsid w:val="009A37E5"/>
    <w:rsid w:val="009A47E5"/>
    <w:rsid w:val="009B6EFA"/>
    <w:rsid w:val="009C72E8"/>
    <w:rsid w:val="009C7725"/>
    <w:rsid w:val="009D7BFC"/>
    <w:rsid w:val="009F1813"/>
    <w:rsid w:val="00A013B5"/>
    <w:rsid w:val="00A01B41"/>
    <w:rsid w:val="00A034FD"/>
    <w:rsid w:val="00A1058B"/>
    <w:rsid w:val="00A13ED1"/>
    <w:rsid w:val="00A223DD"/>
    <w:rsid w:val="00A2595A"/>
    <w:rsid w:val="00A316EC"/>
    <w:rsid w:val="00A427C6"/>
    <w:rsid w:val="00A51888"/>
    <w:rsid w:val="00A60968"/>
    <w:rsid w:val="00A80EF4"/>
    <w:rsid w:val="00A820D1"/>
    <w:rsid w:val="00A9130E"/>
    <w:rsid w:val="00A94D9B"/>
    <w:rsid w:val="00AB140C"/>
    <w:rsid w:val="00AB1B9C"/>
    <w:rsid w:val="00AB3964"/>
    <w:rsid w:val="00AB6812"/>
    <w:rsid w:val="00AC730F"/>
    <w:rsid w:val="00AD0E40"/>
    <w:rsid w:val="00AD1459"/>
    <w:rsid w:val="00AD2AE7"/>
    <w:rsid w:val="00AE3EEB"/>
    <w:rsid w:val="00AE4AE0"/>
    <w:rsid w:val="00AE5CD3"/>
    <w:rsid w:val="00AF6C39"/>
    <w:rsid w:val="00AF6DBF"/>
    <w:rsid w:val="00B02A6D"/>
    <w:rsid w:val="00B0606C"/>
    <w:rsid w:val="00B06ACA"/>
    <w:rsid w:val="00B0725A"/>
    <w:rsid w:val="00B0743E"/>
    <w:rsid w:val="00B16D63"/>
    <w:rsid w:val="00B16F31"/>
    <w:rsid w:val="00B207B7"/>
    <w:rsid w:val="00B23E83"/>
    <w:rsid w:val="00B26225"/>
    <w:rsid w:val="00B26B5B"/>
    <w:rsid w:val="00B31280"/>
    <w:rsid w:val="00B36FBA"/>
    <w:rsid w:val="00B45856"/>
    <w:rsid w:val="00B55A14"/>
    <w:rsid w:val="00B65D41"/>
    <w:rsid w:val="00B67F07"/>
    <w:rsid w:val="00B717BE"/>
    <w:rsid w:val="00B867B7"/>
    <w:rsid w:val="00B914C0"/>
    <w:rsid w:val="00B95EFA"/>
    <w:rsid w:val="00BA1A56"/>
    <w:rsid w:val="00BA3664"/>
    <w:rsid w:val="00BB06B5"/>
    <w:rsid w:val="00BB3911"/>
    <w:rsid w:val="00BC2F7E"/>
    <w:rsid w:val="00BC7FDF"/>
    <w:rsid w:val="00BD0A44"/>
    <w:rsid w:val="00BD2AB2"/>
    <w:rsid w:val="00BE0C60"/>
    <w:rsid w:val="00BE7666"/>
    <w:rsid w:val="00BF62E8"/>
    <w:rsid w:val="00BF73E8"/>
    <w:rsid w:val="00C07854"/>
    <w:rsid w:val="00C25F62"/>
    <w:rsid w:val="00C2619A"/>
    <w:rsid w:val="00C32FCD"/>
    <w:rsid w:val="00C43009"/>
    <w:rsid w:val="00C4454C"/>
    <w:rsid w:val="00C44BA7"/>
    <w:rsid w:val="00C518CF"/>
    <w:rsid w:val="00C52DA7"/>
    <w:rsid w:val="00C5614F"/>
    <w:rsid w:val="00C565C2"/>
    <w:rsid w:val="00C56C1B"/>
    <w:rsid w:val="00C66A6A"/>
    <w:rsid w:val="00C75944"/>
    <w:rsid w:val="00C77F2F"/>
    <w:rsid w:val="00C86C52"/>
    <w:rsid w:val="00C86F64"/>
    <w:rsid w:val="00C92E3D"/>
    <w:rsid w:val="00C944FD"/>
    <w:rsid w:val="00C96B66"/>
    <w:rsid w:val="00C9745D"/>
    <w:rsid w:val="00CA13B5"/>
    <w:rsid w:val="00CA24D6"/>
    <w:rsid w:val="00CA58C7"/>
    <w:rsid w:val="00CB4FB6"/>
    <w:rsid w:val="00CB6DB3"/>
    <w:rsid w:val="00CB76D1"/>
    <w:rsid w:val="00CC0D73"/>
    <w:rsid w:val="00CC21BA"/>
    <w:rsid w:val="00CC6BF1"/>
    <w:rsid w:val="00CE6534"/>
    <w:rsid w:val="00CF33D6"/>
    <w:rsid w:val="00CF567E"/>
    <w:rsid w:val="00CF63C0"/>
    <w:rsid w:val="00D01902"/>
    <w:rsid w:val="00D10874"/>
    <w:rsid w:val="00D1294E"/>
    <w:rsid w:val="00D13948"/>
    <w:rsid w:val="00D13E27"/>
    <w:rsid w:val="00D2475B"/>
    <w:rsid w:val="00D250C7"/>
    <w:rsid w:val="00D32C50"/>
    <w:rsid w:val="00D34557"/>
    <w:rsid w:val="00D346A7"/>
    <w:rsid w:val="00D37A5E"/>
    <w:rsid w:val="00D37D8C"/>
    <w:rsid w:val="00D41A30"/>
    <w:rsid w:val="00D41AE4"/>
    <w:rsid w:val="00D444BC"/>
    <w:rsid w:val="00D561EB"/>
    <w:rsid w:val="00D564BE"/>
    <w:rsid w:val="00D75DEE"/>
    <w:rsid w:val="00D93168"/>
    <w:rsid w:val="00D948BA"/>
    <w:rsid w:val="00DA03B6"/>
    <w:rsid w:val="00DB21E6"/>
    <w:rsid w:val="00DB401F"/>
    <w:rsid w:val="00DC2DB7"/>
    <w:rsid w:val="00DD0779"/>
    <w:rsid w:val="00DD1D1C"/>
    <w:rsid w:val="00DD3A4D"/>
    <w:rsid w:val="00DD50B0"/>
    <w:rsid w:val="00DE1A65"/>
    <w:rsid w:val="00DE2FDB"/>
    <w:rsid w:val="00DE65E9"/>
    <w:rsid w:val="00DF32B5"/>
    <w:rsid w:val="00DF7A97"/>
    <w:rsid w:val="00E023D5"/>
    <w:rsid w:val="00E0252D"/>
    <w:rsid w:val="00E23C63"/>
    <w:rsid w:val="00E25CAD"/>
    <w:rsid w:val="00E32C14"/>
    <w:rsid w:val="00E34DAC"/>
    <w:rsid w:val="00E371A1"/>
    <w:rsid w:val="00E40A14"/>
    <w:rsid w:val="00E43DB8"/>
    <w:rsid w:val="00E465F5"/>
    <w:rsid w:val="00E534E6"/>
    <w:rsid w:val="00E62217"/>
    <w:rsid w:val="00E66B50"/>
    <w:rsid w:val="00E66C71"/>
    <w:rsid w:val="00E740FB"/>
    <w:rsid w:val="00E871B6"/>
    <w:rsid w:val="00E87295"/>
    <w:rsid w:val="00E937FA"/>
    <w:rsid w:val="00E97473"/>
    <w:rsid w:val="00EA0BA5"/>
    <w:rsid w:val="00EA4EE6"/>
    <w:rsid w:val="00EA4F8C"/>
    <w:rsid w:val="00EB246D"/>
    <w:rsid w:val="00EB76BC"/>
    <w:rsid w:val="00ED2529"/>
    <w:rsid w:val="00ED3284"/>
    <w:rsid w:val="00EE4F24"/>
    <w:rsid w:val="00EF15EF"/>
    <w:rsid w:val="00F0062D"/>
    <w:rsid w:val="00F0067C"/>
    <w:rsid w:val="00F037F5"/>
    <w:rsid w:val="00F048EA"/>
    <w:rsid w:val="00F050F3"/>
    <w:rsid w:val="00F05675"/>
    <w:rsid w:val="00F05CC1"/>
    <w:rsid w:val="00F06E5B"/>
    <w:rsid w:val="00F13114"/>
    <w:rsid w:val="00F16E8F"/>
    <w:rsid w:val="00F22A82"/>
    <w:rsid w:val="00F249F2"/>
    <w:rsid w:val="00F268D4"/>
    <w:rsid w:val="00F37192"/>
    <w:rsid w:val="00F50FB5"/>
    <w:rsid w:val="00F54225"/>
    <w:rsid w:val="00F567A9"/>
    <w:rsid w:val="00F62685"/>
    <w:rsid w:val="00F7279E"/>
    <w:rsid w:val="00F72947"/>
    <w:rsid w:val="00F73832"/>
    <w:rsid w:val="00F73FB4"/>
    <w:rsid w:val="00F748C6"/>
    <w:rsid w:val="00F80F3F"/>
    <w:rsid w:val="00F87B6D"/>
    <w:rsid w:val="00F96A93"/>
    <w:rsid w:val="00FA0752"/>
    <w:rsid w:val="00FA218C"/>
    <w:rsid w:val="00FB07A8"/>
    <w:rsid w:val="00FB3900"/>
    <w:rsid w:val="00FB6C35"/>
    <w:rsid w:val="00FC59EE"/>
    <w:rsid w:val="00FC672A"/>
    <w:rsid w:val="00FC6F0B"/>
    <w:rsid w:val="00FD56DB"/>
    <w:rsid w:val="00FD673B"/>
    <w:rsid w:val="00FE4DF8"/>
    <w:rsid w:val="00FF65C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imes New Roman"/>
        <w:sz w:val="24"/>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16426"/>
    <w:rPr>
      <w:rFonts w:asciiTheme="minorHAnsi" w:hAnsiTheme="minorHAnsi" w:cstheme="minorBidi"/>
      <w:sz w:val="22"/>
    </w:rPr>
  </w:style>
  <w:style w:type="paragraph" w:styleId="1">
    <w:name w:val="heading 1"/>
    <w:basedOn w:val="a0"/>
    <w:next w:val="a0"/>
    <w:link w:val="10"/>
    <w:uiPriority w:val="9"/>
    <w:qFormat/>
    <w:rsid w:val="005A1B22"/>
    <w:pPr>
      <w:keepNext/>
      <w:keepLines/>
      <w:spacing w:before="480" w:after="0" w:line="259" w:lineRule="auto"/>
      <w:outlineLvl w:val="0"/>
    </w:pPr>
    <w:rPr>
      <w:rFonts w:ascii="Calibri Light" w:eastAsia="MS Gothic" w:hAnsi="Calibri Light" w:cs="Times New Roman"/>
      <w:b/>
      <w:bCs/>
      <w:color w:val="2E74B5"/>
      <w:sz w:val="28"/>
      <w:szCs w:val="28"/>
    </w:rPr>
  </w:style>
  <w:style w:type="paragraph" w:styleId="20">
    <w:name w:val="heading 2"/>
    <w:basedOn w:val="a0"/>
    <w:next w:val="a0"/>
    <w:link w:val="21"/>
    <w:uiPriority w:val="9"/>
    <w:qFormat/>
    <w:rsid w:val="005A1B22"/>
    <w:pPr>
      <w:keepNext/>
      <w:keepLines/>
      <w:spacing w:before="200" w:after="0" w:line="259" w:lineRule="auto"/>
      <w:outlineLvl w:val="1"/>
    </w:pPr>
    <w:rPr>
      <w:rFonts w:ascii="Calibri Light" w:eastAsia="MS Gothic" w:hAnsi="Calibri Light" w:cs="Times New Roman"/>
      <w:b/>
      <w:bCs/>
      <w:color w:val="5B9BD5"/>
      <w:sz w:val="26"/>
      <w:szCs w:val="26"/>
    </w:rPr>
  </w:style>
  <w:style w:type="paragraph" w:styleId="30">
    <w:name w:val="heading 3"/>
    <w:basedOn w:val="a0"/>
    <w:next w:val="a0"/>
    <w:link w:val="31"/>
    <w:uiPriority w:val="9"/>
    <w:qFormat/>
    <w:rsid w:val="005A1B22"/>
    <w:pPr>
      <w:keepNext/>
      <w:keepLines/>
      <w:spacing w:before="200" w:after="0" w:line="259" w:lineRule="auto"/>
      <w:outlineLvl w:val="2"/>
    </w:pPr>
    <w:rPr>
      <w:rFonts w:ascii="Calibri Light" w:eastAsia="MS Gothic" w:hAnsi="Calibri Light" w:cs="Times New Roman"/>
      <w:b/>
      <w:bCs/>
      <w:color w:val="5B9BD5"/>
      <w:sz w:val="20"/>
      <w:szCs w:val="20"/>
    </w:rPr>
  </w:style>
  <w:style w:type="paragraph" w:styleId="5">
    <w:name w:val="heading 5"/>
    <w:basedOn w:val="a0"/>
    <w:next w:val="a0"/>
    <w:link w:val="50"/>
    <w:uiPriority w:val="9"/>
    <w:unhideWhenUsed/>
    <w:qFormat/>
    <w:rsid w:val="005A1B22"/>
    <w:pPr>
      <w:spacing w:before="240" w:after="60" w:line="259" w:lineRule="auto"/>
      <w:outlineLvl w:val="4"/>
    </w:pPr>
    <w:rPr>
      <w:rFonts w:ascii="Calibri" w:eastAsia="Times New Roman" w:hAnsi="Calibri" w:cs="Times New Roman"/>
      <w:b/>
      <w:bCs/>
      <w:i/>
      <w:iCs/>
      <w:sz w:val="26"/>
      <w:szCs w:val="26"/>
    </w:rPr>
  </w:style>
  <w:style w:type="paragraph" w:styleId="6">
    <w:name w:val="heading 6"/>
    <w:basedOn w:val="a0"/>
    <w:next w:val="a0"/>
    <w:link w:val="60"/>
    <w:uiPriority w:val="9"/>
    <w:unhideWhenUsed/>
    <w:qFormat/>
    <w:rsid w:val="005A1B22"/>
    <w:pPr>
      <w:spacing w:before="240" w:after="60" w:line="259" w:lineRule="auto"/>
      <w:outlineLvl w:val="5"/>
    </w:pPr>
    <w:rPr>
      <w:rFonts w:ascii="Calibri" w:eastAsia="Times New Roman" w:hAnsi="Calibri" w:cs="Times New Roman"/>
      <w:b/>
      <w:bCs/>
    </w:rPr>
  </w:style>
  <w:style w:type="paragraph" w:styleId="7">
    <w:name w:val="heading 7"/>
    <w:basedOn w:val="a0"/>
    <w:next w:val="a0"/>
    <w:link w:val="70"/>
    <w:uiPriority w:val="9"/>
    <w:unhideWhenUsed/>
    <w:qFormat/>
    <w:rsid w:val="005A1B22"/>
    <w:pPr>
      <w:spacing w:before="240" w:after="60" w:line="259" w:lineRule="auto"/>
      <w:outlineLvl w:val="6"/>
    </w:pPr>
    <w:rPr>
      <w:rFonts w:ascii="Calibri" w:eastAsia="Times New Roman"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16426"/>
    <w:pPr>
      <w:tabs>
        <w:tab w:val="center" w:pos="4536"/>
        <w:tab w:val="right" w:pos="9072"/>
      </w:tabs>
      <w:spacing w:after="0" w:line="240" w:lineRule="auto"/>
    </w:pPr>
  </w:style>
  <w:style w:type="character" w:customStyle="1" w:styleId="a5">
    <w:name w:val="Горен колонтитул Знак"/>
    <w:basedOn w:val="a1"/>
    <w:link w:val="a4"/>
    <w:uiPriority w:val="99"/>
    <w:rsid w:val="00916426"/>
    <w:rPr>
      <w:rFonts w:asciiTheme="minorHAnsi" w:hAnsiTheme="minorHAnsi" w:cstheme="minorBidi"/>
      <w:sz w:val="22"/>
    </w:rPr>
  </w:style>
  <w:style w:type="paragraph" w:styleId="a6">
    <w:name w:val="footer"/>
    <w:basedOn w:val="a0"/>
    <w:link w:val="a7"/>
    <w:uiPriority w:val="99"/>
    <w:unhideWhenUsed/>
    <w:rsid w:val="00916426"/>
    <w:pPr>
      <w:tabs>
        <w:tab w:val="center" w:pos="4536"/>
        <w:tab w:val="right" w:pos="9072"/>
      </w:tabs>
      <w:spacing w:after="0" w:line="240" w:lineRule="auto"/>
    </w:pPr>
  </w:style>
  <w:style w:type="character" w:customStyle="1" w:styleId="a7">
    <w:name w:val="Долен колонтитул Знак"/>
    <w:basedOn w:val="a1"/>
    <w:link w:val="a6"/>
    <w:uiPriority w:val="99"/>
    <w:rsid w:val="00916426"/>
    <w:rPr>
      <w:rFonts w:asciiTheme="minorHAnsi" w:hAnsiTheme="minorHAnsi" w:cstheme="minorBidi"/>
      <w:sz w:val="22"/>
    </w:rPr>
  </w:style>
  <w:style w:type="paragraph" w:styleId="a8">
    <w:name w:val="Balloon Text"/>
    <w:basedOn w:val="a0"/>
    <w:link w:val="a9"/>
    <w:uiPriority w:val="99"/>
    <w:semiHidden/>
    <w:unhideWhenUsed/>
    <w:rsid w:val="0061037F"/>
    <w:pPr>
      <w:spacing w:after="0" w:line="240" w:lineRule="auto"/>
    </w:pPr>
    <w:rPr>
      <w:rFonts w:ascii="Tahoma" w:hAnsi="Tahoma" w:cs="Tahoma"/>
      <w:sz w:val="16"/>
      <w:szCs w:val="16"/>
    </w:rPr>
  </w:style>
  <w:style w:type="character" w:customStyle="1" w:styleId="a9">
    <w:name w:val="Изнесен текст Знак"/>
    <w:basedOn w:val="a1"/>
    <w:link w:val="a8"/>
    <w:uiPriority w:val="99"/>
    <w:semiHidden/>
    <w:rsid w:val="0061037F"/>
    <w:rPr>
      <w:rFonts w:ascii="Tahoma" w:hAnsi="Tahoma" w:cs="Tahoma"/>
      <w:sz w:val="16"/>
      <w:szCs w:val="16"/>
    </w:rPr>
  </w:style>
  <w:style w:type="character" w:customStyle="1" w:styleId="10">
    <w:name w:val="Заглавие 1 Знак"/>
    <w:basedOn w:val="a1"/>
    <w:link w:val="1"/>
    <w:uiPriority w:val="9"/>
    <w:rsid w:val="005A1B22"/>
    <w:rPr>
      <w:rFonts w:ascii="Calibri Light" w:eastAsia="MS Gothic" w:hAnsi="Calibri Light"/>
      <w:b/>
      <w:bCs/>
      <w:color w:val="2E74B5"/>
      <w:sz w:val="28"/>
      <w:szCs w:val="28"/>
    </w:rPr>
  </w:style>
  <w:style w:type="character" w:customStyle="1" w:styleId="21">
    <w:name w:val="Заглавие 2 Знак"/>
    <w:basedOn w:val="a1"/>
    <w:link w:val="20"/>
    <w:uiPriority w:val="9"/>
    <w:rsid w:val="005A1B22"/>
    <w:rPr>
      <w:rFonts w:ascii="Calibri Light" w:eastAsia="MS Gothic" w:hAnsi="Calibri Light"/>
      <w:b/>
      <w:bCs/>
      <w:color w:val="5B9BD5"/>
      <w:sz w:val="26"/>
      <w:szCs w:val="26"/>
    </w:rPr>
  </w:style>
  <w:style w:type="character" w:customStyle="1" w:styleId="31">
    <w:name w:val="Заглавие 3 Знак"/>
    <w:basedOn w:val="a1"/>
    <w:link w:val="30"/>
    <w:uiPriority w:val="9"/>
    <w:rsid w:val="005A1B22"/>
    <w:rPr>
      <w:rFonts w:ascii="Calibri Light" w:eastAsia="MS Gothic" w:hAnsi="Calibri Light"/>
      <w:b/>
      <w:bCs/>
      <w:color w:val="5B9BD5"/>
      <w:sz w:val="20"/>
      <w:szCs w:val="20"/>
    </w:rPr>
  </w:style>
  <w:style w:type="character" w:customStyle="1" w:styleId="50">
    <w:name w:val="Заглавие 5 Знак"/>
    <w:basedOn w:val="a1"/>
    <w:link w:val="5"/>
    <w:uiPriority w:val="9"/>
    <w:rsid w:val="005A1B22"/>
    <w:rPr>
      <w:rFonts w:ascii="Calibri" w:eastAsia="Times New Roman" w:hAnsi="Calibri"/>
      <w:b/>
      <w:bCs/>
      <w:i/>
      <w:iCs/>
      <w:sz w:val="26"/>
      <w:szCs w:val="26"/>
    </w:rPr>
  </w:style>
  <w:style w:type="character" w:customStyle="1" w:styleId="60">
    <w:name w:val="Заглавие 6 Знак"/>
    <w:basedOn w:val="a1"/>
    <w:link w:val="6"/>
    <w:uiPriority w:val="9"/>
    <w:rsid w:val="005A1B22"/>
    <w:rPr>
      <w:rFonts w:ascii="Calibri" w:eastAsia="Times New Roman" w:hAnsi="Calibri"/>
      <w:b/>
      <w:bCs/>
      <w:sz w:val="22"/>
    </w:rPr>
  </w:style>
  <w:style w:type="character" w:customStyle="1" w:styleId="70">
    <w:name w:val="Заглавие 7 Знак"/>
    <w:basedOn w:val="a1"/>
    <w:link w:val="7"/>
    <w:uiPriority w:val="9"/>
    <w:rsid w:val="005A1B22"/>
    <w:rPr>
      <w:rFonts w:ascii="Calibri" w:eastAsia="Times New Roman" w:hAnsi="Calibri"/>
      <w:szCs w:val="24"/>
    </w:rPr>
  </w:style>
  <w:style w:type="paragraph" w:styleId="aa">
    <w:name w:val="List Paragraph"/>
    <w:basedOn w:val="a0"/>
    <w:link w:val="ab"/>
    <w:uiPriority w:val="34"/>
    <w:qFormat/>
    <w:rsid w:val="005A1B22"/>
    <w:pPr>
      <w:spacing w:after="160" w:line="259" w:lineRule="auto"/>
      <w:ind w:left="720"/>
      <w:contextualSpacing/>
    </w:pPr>
    <w:rPr>
      <w:rFonts w:ascii="Calibri" w:eastAsia="Calibri" w:hAnsi="Calibri" w:cs="Times New Roman"/>
    </w:rPr>
  </w:style>
  <w:style w:type="paragraph" w:styleId="ac">
    <w:name w:val="footnote text"/>
    <w:aliases w:val="Podrozdział,stile 1,Footnote1,Footnote2,Footnote3,Footnote4,Footnote5,Footnote6,Footnote7,Footnote8,Footnote9,Footnote10,Footnote11,Footnote21,Footnote31,Footnote41,Footnote51,Footnote61,Footnote71,Footnote81,Footnote91,single spa, Car C"/>
    <w:basedOn w:val="a0"/>
    <w:link w:val="ad"/>
    <w:unhideWhenUsed/>
    <w:rsid w:val="005A1B22"/>
    <w:pPr>
      <w:spacing w:after="0" w:line="240" w:lineRule="auto"/>
    </w:pPr>
    <w:rPr>
      <w:rFonts w:ascii="Calibri" w:eastAsia="Calibri" w:hAnsi="Calibri" w:cs="Times New Roman"/>
      <w:sz w:val="20"/>
      <w:szCs w:val="20"/>
    </w:rPr>
  </w:style>
  <w:style w:type="character" w:customStyle="1" w:styleId="ad">
    <w:name w:val="Текст под линия Знак"/>
    <w:aliases w:val="Podrozdział Знак,stile 1 Знак,Footnote1 Знак,Footnote2 Знак,Footnote3 Знак,Footnote4 Знак,Footnote5 Знак,Footnote6 Знак,Footnote7 Знак,Footnote8 Знак,Footnote9 Знак,Footnote10 Знак,Footnote11 Знак,Footnote21 Знак,Footnote31 Знак"/>
    <w:basedOn w:val="a1"/>
    <w:link w:val="ac"/>
    <w:rsid w:val="005A1B22"/>
    <w:rPr>
      <w:rFonts w:ascii="Calibri" w:eastAsia="Calibri" w:hAnsi="Calibri"/>
      <w:sz w:val="20"/>
      <w:szCs w:val="20"/>
    </w:rPr>
  </w:style>
  <w:style w:type="character" w:styleId="ae">
    <w:name w:val="footnote reference"/>
    <w:aliases w:val="Footnote symbol,Appel note de bas de p,SUPERS,Nota,(NECG) Footnote Reference,Voetnootverwijzing,Footnote Reference Superscript,BVI fnr,Lábjegyzet-hivatkozás,L?bjegyzet-hivatkoz?s,Char1 Char Char Char Char,ftref,Fussnot"/>
    <w:unhideWhenUsed/>
    <w:rsid w:val="005A1B22"/>
    <w:rPr>
      <w:vertAlign w:val="superscript"/>
    </w:rPr>
  </w:style>
  <w:style w:type="table" w:styleId="af">
    <w:name w:val="Table Grid"/>
    <w:basedOn w:val="a2"/>
    <w:rsid w:val="005A1B22"/>
    <w:pPr>
      <w:spacing w:after="0" w:line="240" w:lineRule="auto"/>
    </w:pPr>
    <w:rPr>
      <w:rFonts w:ascii="Times New Roman" w:eastAsia="Times New Roman" w:hAnsi="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endnote text"/>
    <w:basedOn w:val="a0"/>
    <w:link w:val="af1"/>
    <w:uiPriority w:val="99"/>
    <w:semiHidden/>
    <w:unhideWhenUsed/>
    <w:rsid w:val="005A1B22"/>
    <w:pPr>
      <w:spacing w:after="0" w:line="240" w:lineRule="auto"/>
    </w:pPr>
    <w:rPr>
      <w:rFonts w:ascii="Calibri" w:eastAsia="Calibri" w:hAnsi="Calibri" w:cs="Times New Roman"/>
      <w:sz w:val="20"/>
      <w:szCs w:val="20"/>
    </w:rPr>
  </w:style>
  <w:style w:type="character" w:customStyle="1" w:styleId="af1">
    <w:name w:val="Текст на бележка в края Знак"/>
    <w:basedOn w:val="a1"/>
    <w:link w:val="af0"/>
    <w:uiPriority w:val="99"/>
    <w:semiHidden/>
    <w:rsid w:val="005A1B22"/>
    <w:rPr>
      <w:rFonts w:ascii="Calibri" w:eastAsia="Calibri" w:hAnsi="Calibri"/>
      <w:sz w:val="20"/>
      <w:szCs w:val="20"/>
    </w:rPr>
  </w:style>
  <w:style w:type="character" w:styleId="af2">
    <w:name w:val="endnote reference"/>
    <w:uiPriority w:val="99"/>
    <w:semiHidden/>
    <w:unhideWhenUsed/>
    <w:rsid w:val="005A1B22"/>
    <w:rPr>
      <w:vertAlign w:val="superscript"/>
    </w:rPr>
  </w:style>
  <w:style w:type="character" w:customStyle="1" w:styleId="ldef">
    <w:name w:val="ldef"/>
    <w:basedOn w:val="a1"/>
    <w:rsid w:val="005A1B22"/>
  </w:style>
  <w:style w:type="character" w:styleId="af3">
    <w:name w:val="Hyperlink"/>
    <w:uiPriority w:val="99"/>
    <w:unhideWhenUsed/>
    <w:rsid w:val="005A1B22"/>
    <w:rPr>
      <w:color w:val="0563C1"/>
      <w:u w:val="single"/>
    </w:rPr>
  </w:style>
  <w:style w:type="character" w:styleId="af4">
    <w:name w:val="annotation reference"/>
    <w:uiPriority w:val="99"/>
    <w:semiHidden/>
    <w:unhideWhenUsed/>
    <w:rsid w:val="005A1B22"/>
    <w:rPr>
      <w:sz w:val="16"/>
      <w:szCs w:val="16"/>
    </w:rPr>
  </w:style>
  <w:style w:type="paragraph" w:styleId="af5">
    <w:name w:val="annotation text"/>
    <w:basedOn w:val="a0"/>
    <w:link w:val="af6"/>
    <w:uiPriority w:val="99"/>
    <w:unhideWhenUsed/>
    <w:rsid w:val="005A1B22"/>
    <w:pPr>
      <w:spacing w:after="160" w:line="240" w:lineRule="auto"/>
    </w:pPr>
    <w:rPr>
      <w:rFonts w:ascii="Calibri" w:eastAsia="Calibri" w:hAnsi="Calibri" w:cs="Times New Roman"/>
      <w:sz w:val="20"/>
      <w:szCs w:val="20"/>
    </w:rPr>
  </w:style>
  <w:style w:type="character" w:customStyle="1" w:styleId="af6">
    <w:name w:val="Текст на коментар Знак"/>
    <w:basedOn w:val="a1"/>
    <w:link w:val="af5"/>
    <w:uiPriority w:val="99"/>
    <w:rsid w:val="005A1B22"/>
    <w:rPr>
      <w:rFonts w:ascii="Calibri" w:eastAsia="Calibri" w:hAnsi="Calibri"/>
      <w:sz w:val="20"/>
      <w:szCs w:val="20"/>
    </w:rPr>
  </w:style>
  <w:style w:type="paragraph" w:styleId="af7">
    <w:name w:val="annotation subject"/>
    <w:basedOn w:val="af5"/>
    <w:next w:val="af5"/>
    <w:link w:val="af8"/>
    <w:uiPriority w:val="99"/>
    <w:semiHidden/>
    <w:unhideWhenUsed/>
    <w:rsid w:val="005A1B22"/>
    <w:rPr>
      <w:b/>
      <w:bCs/>
    </w:rPr>
  </w:style>
  <w:style w:type="character" w:customStyle="1" w:styleId="af8">
    <w:name w:val="Предмет на коментар Знак"/>
    <w:basedOn w:val="af6"/>
    <w:link w:val="af7"/>
    <w:uiPriority w:val="99"/>
    <w:semiHidden/>
    <w:rsid w:val="005A1B22"/>
    <w:rPr>
      <w:rFonts w:ascii="Calibri" w:eastAsia="Calibri" w:hAnsi="Calibri"/>
      <w:b/>
      <w:bCs/>
      <w:sz w:val="20"/>
      <w:szCs w:val="20"/>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a0"/>
    <w:rsid w:val="005A1B2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0"/>
    <w:rsid w:val="005A1B22"/>
    <w:pPr>
      <w:tabs>
        <w:tab w:val="left" w:pos="709"/>
      </w:tabs>
      <w:spacing w:after="0" w:line="240" w:lineRule="auto"/>
    </w:pPr>
    <w:rPr>
      <w:rFonts w:ascii="Tahoma" w:eastAsia="Times New Roman" w:hAnsi="Tahoma" w:cs="Times New Roman"/>
      <w:sz w:val="24"/>
      <w:szCs w:val="24"/>
      <w:lang w:val="pl-PL" w:eastAsia="pl-PL"/>
    </w:rPr>
  </w:style>
  <w:style w:type="paragraph" w:styleId="af9">
    <w:name w:val="Normal (Web)"/>
    <w:basedOn w:val="a0"/>
    <w:uiPriority w:val="99"/>
    <w:semiHidden/>
    <w:unhideWhenUsed/>
    <w:rsid w:val="005A1B22"/>
    <w:pPr>
      <w:spacing w:after="0" w:line="240" w:lineRule="auto"/>
      <w:ind w:firstLine="990"/>
      <w:jc w:val="both"/>
    </w:pPr>
    <w:rPr>
      <w:rFonts w:ascii="Times New Roman" w:eastAsia="Times New Roman" w:hAnsi="Times New Roman" w:cs="Times New Roman"/>
      <w:color w:val="000000"/>
      <w:sz w:val="24"/>
      <w:szCs w:val="24"/>
      <w:lang w:val="en-US"/>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a0"/>
    <w:rsid w:val="005A1B22"/>
    <w:pPr>
      <w:tabs>
        <w:tab w:val="left" w:pos="709"/>
      </w:tabs>
      <w:spacing w:after="0" w:line="240" w:lineRule="auto"/>
    </w:pPr>
    <w:rPr>
      <w:rFonts w:ascii="Tahoma" w:eastAsia="Times New Roman" w:hAnsi="Tahoma" w:cs="Times New Roman"/>
      <w:sz w:val="24"/>
      <w:szCs w:val="24"/>
      <w:lang w:val="pl-PL" w:eastAsia="pl-PL"/>
    </w:rPr>
  </w:style>
  <w:style w:type="paragraph" w:styleId="afa">
    <w:name w:val="Revision"/>
    <w:hidden/>
    <w:uiPriority w:val="99"/>
    <w:semiHidden/>
    <w:rsid w:val="005A1B22"/>
    <w:pPr>
      <w:spacing w:after="0" w:line="240" w:lineRule="auto"/>
    </w:pPr>
    <w:rPr>
      <w:rFonts w:ascii="Calibri" w:eastAsia="Calibri" w:hAnsi="Calibri"/>
      <w:sz w:val="22"/>
    </w:rPr>
  </w:style>
  <w:style w:type="paragraph" w:styleId="afb">
    <w:name w:val="TOC Heading"/>
    <w:basedOn w:val="1"/>
    <w:next w:val="a0"/>
    <w:uiPriority w:val="39"/>
    <w:qFormat/>
    <w:rsid w:val="005A1B22"/>
    <w:pPr>
      <w:spacing w:line="276" w:lineRule="auto"/>
      <w:outlineLvl w:val="9"/>
    </w:pPr>
    <w:rPr>
      <w:lang w:eastAsia="bg-BG"/>
    </w:rPr>
  </w:style>
  <w:style w:type="paragraph" w:styleId="22">
    <w:name w:val="toc 2"/>
    <w:basedOn w:val="a0"/>
    <w:next w:val="a0"/>
    <w:autoRedefine/>
    <w:uiPriority w:val="39"/>
    <w:unhideWhenUsed/>
    <w:rsid w:val="005A1B22"/>
    <w:pPr>
      <w:spacing w:before="240" w:after="0" w:line="259" w:lineRule="auto"/>
    </w:pPr>
    <w:rPr>
      <w:rFonts w:ascii="Calibri" w:eastAsia="Calibri" w:hAnsi="Calibri" w:cs="Calibri"/>
      <w:b/>
      <w:bCs/>
      <w:sz w:val="20"/>
      <w:szCs w:val="20"/>
    </w:rPr>
  </w:style>
  <w:style w:type="paragraph" w:styleId="32">
    <w:name w:val="toc 3"/>
    <w:basedOn w:val="a0"/>
    <w:next w:val="a0"/>
    <w:autoRedefine/>
    <w:uiPriority w:val="39"/>
    <w:unhideWhenUsed/>
    <w:rsid w:val="00872C12"/>
    <w:pPr>
      <w:tabs>
        <w:tab w:val="right" w:leader="dot" w:pos="9781"/>
      </w:tabs>
      <w:spacing w:after="0" w:line="240" w:lineRule="auto"/>
      <w:ind w:left="220"/>
    </w:pPr>
    <w:rPr>
      <w:rFonts w:asciiTheme="majorHAnsi" w:eastAsia="Calibri" w:hAnsiTheme="majorHAnsi" w:cs="Calibri"/>
      <w:noProof/>
    </w:rPr>
  </w:style>
  <w:style w:type="paragraph" w:customStyle="1" w:styleId="CharChar">
    <w:name w:val="Char Char"/>
    <w:basedOn w:val="a0"/>
    <w:rsid w:val="005A1B22"/>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5A1B22"/>
    <w:pPr>
      <w:autoSpaceDE w:val="0"/>
      <w:autoSpaceDN w:val="0"/>
      <w:adjustRightInd w:val="0"/>
      <w:spacing w:after="0" w:line="240" w:lineRule="auto"/>
    </w:pPr>
    <w:rPr>
      <w:rFonts w:ascii="Times New Roman" w:eastAsia="Calibri" w:hAnsi="Times New Roman"/>
      <w:color w:val="000000"/>
      <w:szCs w:val="24"/>
    </w:rPr>
  </w:style>
  <w:style w:type="character" w:customStyle="1" w:styleId="msoins0">
    <w:name w:val="msoins"/>
    <w:basedOn w:val="a1"/>
    <w:rsid w:val="005A1B22"/>
  </w:style>
  <w:style w:type="character" w:customStyle="1" w:styleId="msodel0">
    <w:name w:val="msodel"/>
    <w:basedOn w:val="a1"/>
    <w:rsid w:val="005A1B22"/>
  </w:style>
  <w:style w:type="character" w:styleId="afc">
    <w:name w:val="FollowedHyperlink"/>
    <w:uiPriority w:val="99"/>
    <w:semiHidden/>
    <w:unhideWhenUsed/>
    <w:rsid w:val="005A1B22"/>
    <w:rPr>
      <w:color w:val="954F72"/>
      <w:u w:val="single"/>
    </w:rPr>
  </w:style>
  <w:style w:type="paragraph" w:customStyle="1" w:styleId="CharChar2CharCharCharCharCharCharCharCharCharCharCharCharCharCharCharCharCharCharCharCharCharCharCharCharCharCharCharChar1">
    <w:name w:val="Char Char2 Char Char Char Char Char Char Char Char Char Char Char Char Char Char Char Char Char Char Char Char Char Char Char Char Char Char Char Char1"/>
    <w:basedOn w:val="a0"/>
    <w:rsid w:val="005A1B22"/>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basedOn w:val="a2"/>
    <w:next w:val="af"/>
    <w:rsid w:val="005A1B22"/>
    <w:pPr>
      <w:spacing w:after="0" w:line="240" w:lineRule="auto"/>
    </w:pPr>
    <w:rPr>
      <w:rFonts w:ascii="Times New Roman" w:eastAsia="Times New Roman" w:hAnsi="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Знак Знак"/>
    <w:basedOn w:val="a0"/>
    <w:rsid w:val="005A1B22"/>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1">
    <w:name w:val="List Paragraph1"/>
    <w:basedOn w:val="a0"/>
    <w:uiPriority w:val="34"/>
    <w:qFormat/>
    <w:rsid w:val="005A1B22"/>
    <w:pPr>
      <w:spacing w:after="160" w:line="259" w:lineRule="auto"/>
      <w:ind w:left="720"/>
      <w:contextualSpacing/>
    </w:pPr>
    <w:rPr>
      <w:rFonts w:ascii="Calibri" w:eastAsia="Calibri" w:hAnsi="Calibri" w:cs="Times New Roman"/>
    </w:rPr>
  </w:style>
  <w:style w:type="character" w:customStyle="1" w:styleId="apple-converted-space">
    <w:name w:val="apple-converted-space"/>
    <w:basedOn w:val="a1"/>
    <w:rsid w:val="005A1B22"/>
  </w:style>
  <w:style w:type="character" w:customStyle="1" w:styleId="italic">
    <w:name w:val="italic"/>
    <w:basedOn w:val="a1"/>
    <w:rsid w:val="005A1B22"/>
  </w:style>
  <w:style w:type="paragraph" w:styleId="afd">
    <w:name w:val="Body Text"/>
    <w:basedOn w:val="a0"/>
    <w:link w:val="afe"/>
    <w:qFormat/>
    <w:rsid w:val="005A1B22"/>
    <w:pPr>
      <w:widowControl w:val="0"/>
      <w:spacing w:after="0" w:line="240" w:lineRule="auto"/>
    </w:pPr>
    <w:rPr>
      <w:rFonts w:ascii="Calibri" w:eastAsia="Calibri" w:hAnsi="Calibri" w:cs="Times New Roman"/>
      <w:sz w:val="24"/>
      <w:szCs w:val="24"/>
      <w:lang w:val="en-US"/>
    </w:rPr>
  </w:style>
  <w:style w:type="character" w:customStyle="1" w:styleId="afe">
    <w:name w:val="Основен текст Знак"/>
    <w:basedOn w:val="a1"/>
    <w:link w:val="afd"/>
    <w:rsid w:val="005A1B22"/>
    <w:rPr>
      <w:rFonts w:ascii="Calibri" w:eastAsia="Calibri" w:hAnsi="Calibri"/>
      <w:szCs w:val="24"/>
      <w:lang w:val="en-US"/>
    </w:rPr>
  </w:style>
  <w:style w:type="paragraph" w:styleId="aff">
    <w:name w:val="Intense Quote"/>
    <w:basedOn w:val="a0"/>
    <w:next w:val="a0"/>
    <w:link w:val="aff0"/>
    <w:uiPriority w:val="30"/>
    <w:qFormat/>
    <w:rsid w:val="005A1B22"/>
    <w:pPr>
      <w:pBdr>
        <w:bottom w:val="single" w:sz="4" w:space="4" w:color="4F81BD"/>
      </w:pBdr>
      <w:spacing w:before="200" w:after="280" w:line="259" w:lineRule="auto"/>
      <w:ind w:left="936" w:right="936"/>
    </w:pPr>
    <w:rPr>
      <w:rFonts w:ascii="Calibri" w:eastAsia="Calibri" w:hAnsi="Calibri" w:cs="Times New Roman"/>
      <w:b/>
      <w:bCs/>
      <w:i/>
      <w:iCs/>
      <w:color w:val="4F81BD"/>
    </w:rPr>
  </w:style>
  <w:style w:type="character" w:customStyle="1" w:styleId="aff0">
    <w:name w:val="Интензивно цитиране Знак"/>
    <w:basedOn w:val="a1"/>
    <w:link w:val="aff"/>
    <w:uiPriority w:val="30"/>
    <w:rsid w:val="005A1B22"/>
    <w:rPr>
      <w:rFonts w:ascii="Calibri" w:eastAsia="Calibri" w:hAnsi="Calibri"/>
      <w:b/>
      <w:bCs/>
      <w:i/>
      <w:iCs/>
      <w:color w:val="4F81BD"/>
      <w:sz w:val="22"/>
    </w:rPr>
  </w:style>
  <w:style w:type="paragraph" w:styleId="aff1">
    <w:name w:val="List"/>
    <w:basedOn w:val="a0"/>
    <w:uiPriority w:val="99"/>
    <w:unhideWhenUsed/>
    <w:rsid w:val="005A1B22"/>
    <w:pPr>
      <w:spacing w:after="160" w:line="259" w:lineRule="auto"/>
      <w:ind w:left="283" w:hanging="283"/>
      <w:contextualSpacing/>
    </w:pPr>
    <w:rPr>
      <w:rFonts w:ascii="Calibri" w:eastAsia="Calibri" w:hAnsi="Calibri" w:cs="Times New Roman"/>
    </w:rPr>
  </w:style>
  <w:style w:type="paragraph" w:styleId="33">
    <w:name w:val="List 3"/>
    <w:basedOn w:val="a0"/>
    <w:uiPriority w:val="99"/>
    <w:unhideWhenUsed/>
    <w:rsid w:val="005A1B22"/>
    <w:pPr>
      <w:spacing w:after="160" w:line="259" w:lineRule="auto"/>
      <w:ind w:left="849" w:hanging="283"/>
      <w:contextualSpacing/>
    </w:pPr>
    <w:rPr>
      <w:rFonts w:ascii="Calibri" w:eastAsia="Calibri" w:hAnsi="Calibri" w:cs="Times New Roman"/>
    </w:rPr>
  </w:style>
  <w:style w:type="paragraph" w:styleId="40">
    <w:name w:val="List 4"/>
    <w:basedOn w:val="a0"/>
    <w:uiPriority w:val="99"/>
    <w:unhideWhenUsed/>
    <w:rsid w:val="005A1B22"/>
    <w:pPr>
      <w:spacing w:after="160" w:line="259" w:lineRule="auto"/>
      <w:ind w:left="1132" w:hanging="283"/>
      <w:contextualSpacing/>
    </w:pPr>
    <w:rPr>
      <w:rFonts w:ascii="Calibri" w:eastAsia="Calibri" w:hAnsi="Calibri" w:cs="Times New Roman"/>
    </w:rPr>
  </w:style>
  <w:style w:type="paragraph" w:styleId="51">
    <w:name w:val="List 5"/>
    <w:basedOn w:val="a0"/>
    <w:uiPriority w:val="99"/>
    <w:unhideWhenUsed/>
    <w:rsid w:val="005A1B22"/>
    <w:pPr>
      <w:spacing w:after="160" w:line="259" w:lineRule="auto"/>
      <w:ind w:left="1415" w:hanging="283"/>
      <w:contextualSpacing/>
    </w:pPr>
    <w:rPr>
      <w:rFonts w:ascii="Calibri" w:eastAsia="Calibri" w:hAnsi="Calibri" w:cs="Times New Roman"/>
    </w:rPr>
  </w:style>
  <w:style w:type="paragraph" w:styleId="a">
    <w:name w:val="List Bullet"/>
    <w:basedOn w:val="a0"/>
    <w:uiPriority w:val="99"/>
    <w:unhideWhenUsed/>
    <w:rsid w:val="005A1B22"/>
    <w:pPr>
      <w:numPr>
        <w:numId w:val="11"/>
      </w:numPr>
      <w:spacing w:after="160" w:line="259" w:lineRule="auto"/>
      <w:contextualSpacing/>
    </w:pPr>
    <w:rPr>
      <w:rFonts w:ascii="Calibri" w:eastAsia="Calibri" w:hAnsi="Calibri" w:cs="Times New Roman"/>
    </w:rPr>
  </w:style>
  <w:style w:type="paragraph" w:styleId="2">
    <w:name w:val="List Bullet 2"/>
    <w:basedOn w:val="a0"/>
    <w:uiPriority w:val="99"/>
    <w:unhideWhenUsed/>
    <w:rsid w:val="005A1B22"/>
    <w:pPr>
      <w:numPr>
        <w:numId w:val="12"/>
      </w:numPr>
      <w:spacing w:after="160" w:line="259" w:lineRule="auto"/>
      <w:contextualSpacing/>
    </w:pPr>
    <w:rPr>
      <w:rFonts w:ascii="Calibri" w:eastAsia="Calibri" w:hAnsi="Calibri" w:cs="Times New Roman"/>
    </w:rPr>
  </w:style>
  <w:style w:type="paragraph" w:styleId="3">
    <w:name w:val="List Bullet 3"/>
    <w:basedOn w:val="a0"/>
    <w:uiPriority w:val="99"/>
    <w:unhideWhenUsed/>
    <w:rsid w:val="005A1B22"/>
    <w:pPr>
      <w:numPr>
        <w:numId w:val="13"/>
      </w:numPr>
      <w:spacing w:after="160" w:line="259" w:lineRule="auto"/>
      <w:contextualSpacing/>
    </w:pPr>
    <w:rPr>
      <w:rFonts w:ascii="Calibri" w:eastAsia="Calibri" w:hAnsi="Calibri" w:cs="Times New Roman"/>
    </w:rPr>
  </w:style>
  <w:style w:type="paragraph" w:styleId="4">
    <w:name w:val="List Bullet 4"/>
    <w:basedOn w:val="a0"/>
    <w:uiPriority w:val="99"/>
    <w:unhideWhenUsed/>
    <w:rsid w:val="005A1B22"/>
    <w:pPr>
      <w:numPr>
        <w:numId w:val="14"/>
      </w:numPr>
      <w:spacing w:after="160" w:line="259" w:lineRule="auto"/>
      <w:contextualSpacing/>
    </w:pPr>
    <w:rPr>
      <w:rFonts w:ascii="Calibri" w:eastAsia="Calibri" w:hAnsi="Calibri" w:cs="Times New Roman"/>
    </w:rPr>
  </w:style>
  <w:style w:type="paragraph" w:styleId="aff2">
    <w:name w:val="List Continue"/>
    <w:basedOn w:val="a0"/>
    <w:uiPriority w:val="99"/>
    <w:unhideWhenUsed/>
    <w:rsid w:val="005A1B22"/>
    <w:pPr>
      <w:spacing w:after="120" w:line="259" w:lineRule="auto"/>
      <w:ind w:left="283"/>
      <w:contextualSpacing/>
    </w:pPr>
    <w:rPr>
      <w:rFonts w:ascii="Calibri" w:eastAsia="Calibri" w:hAnsi="Calibri" w:cs="Times New Roman"/>
    </w:rPr>
  </w:style>
  <w:style w:type="paragraph" w:styleId="23">
    <w:name w:val="List Continue 2"/>
    <w:basedOn w:val="a0"/>
    <w:uiPriority w:val="99"/>
    <w:unhideWhenUsed/>
    <w:rsid w:val="005A1B22"/>
    <w:pPr>
      <w:spacing w:after="120" w:line="259" w:lineRule="auto"/>
      <w:ind w:left="566"/>
      <w:contextualSpacing/>
    </w:pPr>
    <w:rPr>
      <w:rFonts w:ascii="Calibri" w:eastAsia="Calibri" w:hAnsi="Calibri" w:cs="Times New Roman"/>
    </w:rPr>
  </w:style>
  <w:style w:type="paragraph" w:styleId="34">
    <w:name w:val="List Continue 3"/>
    <w:basedOn w:val="a0"/>
    <w:uiPriority w:val="99"/>
    <w:unhideWhenUsed/>
    <w:rsid w:val="005A1B22"/>
    <w:pPr>
      <w:spacing w:after="120" w:line="259" w:lineRule="auto"/>
      <w:ind w:left="849"/>
      <w:contextualSpacing/>
    </w:pPr>
    <w:rPr>
      <w:rFonts w:ascii="Calibri" w:eastAsia="Calibri" w:hAnsi="Calibri" w:cs="Times New Roman"/>
    </w:rPr>
  </w:style>
  <w:style w:type="paragraph" w:styleId="11">
    <w:name w:val="toc 1"/>
    <w:basedOn w:val="a0"/>
    <w:next w:val="a0"/>
    <w:autoRedefine/>
    <w:uiPriority w:val="39"/>
    <w:unhideWhenUsed/>
    <w:rsid w:val="005A1B22"/>
    <w:pPr>
      <w:spacing w:before="360" w:after="0" w:line="259" w:lineRule="auto"/>
    </w:pPr>
    <w:rPr>
      <w:rFonts w:ascii="Cambria" w:eastAsia="Calibri" w:hAnsi="Cambria" w:cs="Times New Roman"/>
      <w:b/>
      <w:bCs/>
      <w:caps/>
      <w:sz w:val="24"/>
      <w:szCs w:val="24"/>
    </w:rPr>
  </w:style>
  <w:style w:type="paragraph" w:styleId="41">
    <w:name w:val="toc 4"/>
    <w:basedOn w:val="a0"/>
    <w:next w:val="a0"/>
    <w:autoRedefine/>
    <w:uiPriority w:val="39"/>
    <w:unhideWhenUsed/>
    <w:rsid w:val="005A1B22"/>
    <w:pPr>
      <w:spacing w:after="0" w:line="259" w:lineRule="auto"/>
      <w:ind w:left="440"/>
    </w:pPr>
    <w:rPr>
      <w:rFonts w:ascii="Calibri" w:eastAsia="Calibri" w:hAnsi="Calibri" w:cs="Calibri"/>
      <w:sz w:val="20"/>
      <w:szCs w:val="20"/>
    </w:rPr>
  </w:style>
  <w:style w:type="paragraph" w:styleId="52">
    <w:name w:val="toc 5"/>
    <w:basedOn w:val="a0"/>
    <w:next w:val="a0"/>
    <w:autoRedefine/>
    <w:uiPriority w:val="39"/>
    <w:unhideWhenUsed/>
    <w:rsid w:val="005A1B22"/>
    <w:pPr>
      <w:spacing w:after="0" w:line="259" w:lineRule="auto"/>
      <w:ind w:left="660"/>
    </w:pPr>
    <w:rPr>
      <w:rFonts w:ascii="Calibri" w:eastAsia="Calibri" w:hAnsi="Calibri" w:cs="Calibri"/>
      <w:sz w:val="20"/>
      <w:szCs w:val="20"/>
    </w:rPr>
  </w:style>
  <w:style w:type="paragraph" w:styleId="61">
    <w:name w:val="toc 6"/>
    <w:basedOn w:val="a0"/>
    <w:next w:val="a0"/>
    <w:autoRedefine/>
    <w:uiPriority w:val="39"/>
    <w:unhideWhenUsed/>
    <w:rsid w:val="005A1B22"/>
    <w:pPr>
      <w:spacing w:after="0" w:line="259" w:lineRule="auto"/>
      <w:ind w:left="880"/>
    </w:pPr>
    <w:rPr>
      <w:rFonts w:ascii="Calibri" w:eastAsia="Calibri" w:hAnsi="Calibri" w:cs="Calibri"/>
      <w:sz w:val="20"/>
      <w:szCs w:val="20"/>
    </w:rPr>
  </w:style>
  <w:style w:type="paragraph" w:styleId="71">
    <w:name w:val="toc 7"/>
    <w:basedOn w:val="a0"/>
    <w:next w:val="a0"/>
    <w:autoRedefine/>
    <w:uiPriority w:val="39"/>
    <w:unhideWhenUsed/>
    <w:rsid w:val="005A1B22"/>
    <w:pPr>
      <w:spacing w:after="0" w:line="259" w:lineRule="auto"/>
      <w:ind w:left="1100"/>
    </w:pPr>
    <w:rPr>
      <w:rFonts w:ascii="Calibri" w:eastAsia="Calibri" w:hAnsi="Calibri" w:cs="Calibri"/>
      <w:sz w:val="20"/>
      <w:szCs w:val="20"/>
    </w:rPr>
  </w:style>
  <w:style w:type="paragraph" w:styleId="8">
    <w:name w:val="toc 8"/>
    <w:basedOn w:val="a0"/>
    <w:next w:val="a0"/>
    <w:autoRedefine/>
    <w:uiPriority w:val="39"/>
    <w:unhideWhenUsed/>
    <w:rsid w:val="005A1B22"/>
    <w:pPr>
      <w:spacing w:after="0" w:line="259" w:lineRule="auto"/>
      <w:ind w:left="1320"/>
    </w:pPr>
    <w:rPr>
      <w:rFonts w:ascii="Calibri" w:eastAsia="Calibri" w:hAnsi="Calibri" w:cs="Calibri"/>
      <w:sz w:val="20"/>
      <w:szCs w:val="20"/>
    </w:rPr>
  </w:style>
  <w:style w:type="paragraph" w:styleId="9">
    <w:name w:val="toc 9"/>
    <w:basedOn w:val="a0"/>
    <w:next w:val="a0"/>
    <w:autoRedefine/>
    <w:uiPriority w:val="39"/>
    <w:unhideWhenUsed/>
    <w:rsid w:val="005A1B22"/>
    <w:pPr>
      <w:spacing w:after="0" w:line="259" w:lineRule="auto"/>
      <w:ind w:left="1540"/>
    </w:pPr>
    <w:rPr>
      <w:rFonts w:ascii="Calibri" w:eastAsia="Calibri" w:hAnsi="Calibri" w:cs="Calibri"/>
      <w:sz w:val="20"/>
      <w:szCs w:val="20"/>
    </w:rPr>
  </w:style>
  <w:style w:type="character" w:customStyle="1" w:styleId="ab">
    <w:name w:val="Списък на абзаци Знак"/>
    <w:link w:val="aa"/>
    <w:uiPriority w:val="34"/>
    <w:locked/>
    <w:rsid w:val="005A1B22"/>
    <w:rPr>
      <w:rFonts w:ascii="Calibri" w:eastAsia="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sz w:val="24"/>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426"/>
    <w:rPr>
      <w:rFonts w:asciiTheme="minorHAnsi" w:hAnsiTheme="minorHAnsi" w:cstheme="minorBidi"/>
      <w:sz w:val="22"/>
    </w:rPr>
  </w:style>
  <w:style w:type="paragraph" w:styleId="Heading1">
    <w:name w:val="heading 1"/>
    <w:basedOn w:val="Normal"/>
    <w:next w:val="Normal"/>
    <w:link w:val="Heading1Char"/>
    <w:uiPriority w:val="9"/>
    <w:qFormat/>
    <w:rsid w:val="005A1B22"/>
    <w:pPr>
      <w:keepNext/>
      <w:keepLines/>
      <w:spacing w:before="480" w:after="0" w:line="259" w:lineRule="auto"/>
      <w:outlineLvl w:val="0"/>
    </w:pPr>
    <w:rPr>
      <w:rFonts w:ascii="Calibri Light" w:eastAsia="MS Gothic" w:hAnsi="Calibri Light" w:cs="Times New Roman"/>
      <w:b/>
      <w:bCs/>
      <w:color w:val="2E74B5"/>
      <w:sz w:val="28"/>
      <w:szCs w:val="28"/>
    </w:rPr>
  </w:style>
  <w:style w:type="paragraph" w:styleId="Heading2">
    <w:name w:val="heading 2"/>
    <w:basedOn w:val="Normal"/>
    <w:next w:val="Normal"/>
    <w:link w:val="Heading2Char"/>
    <w:uiPriority w:val="9"/>
    <w:qFormat/>
    <w:rsid w:val="005A1B22"/>
    <w:pPr>
      <w:keepNext/>
      <w:keepLines/>
      <w:spacing w:before="200" w:after="0" w:line="259" w:lineRule="auto"/>
      <w:outlineLvl w:val="1"/>
    </w:pPr>
    <w:rPr>
      <w:rFonts w:ascii="Calibri Light" w:eastAsia="MS Gothic" w:hAnsi="Calibri Light" w:cs="Times New Roman"/>
      <w:b/>
      <w:bCs/>
      <w:color w:val="5B9BD5"/>
      <w:sz w:val="26"/>
      <w:szCs w:val="26"/>
    </w:rPr>
  </w:style>
  <w:style w:type="paragraph" w:styleId="Heading3">
    <w:name w:val="heading 3"/>
    <w:basedOn w:val="Normal"/>
    <w:next w:val="Normal"/>
    <w:link w:val="Heading3Char"/>
    <w:uiPriority w:val="9"/>
    <w:qFormat/>
    <w:rsid w:val="005A1B22"/>
    <w:pPr>
      <w:keepNext/>
      <w:keepLines/>
      <w:spacing w:before="200" w:after="0" w:line="259" w:lineRule="auto"/>
      <w:outlineLvl w:val="2"/>
    </w:pPr>
    <w:rPr>
      <w:rFonts w:ascii="Calibri Light" w:eastAsia="MS Gothic" w:hAnsi="Calibri Light" w:cs="Times New Roman"/>
      <w:b/>
      <w:bCs/>
      <w:color w:val="5B9BD5"/>
      <w:sz w:val="20"/>
      <w:szCs w:val="20"/>
    </w:rPr>
  </w:style>
  <w:style w:type="paragraph" w:styleId="Heading5">
    <w:name w:val="heading 5"/>
    <w:basedOn w:val="Normal"/>
    <w:next w:val="Normal"/>
    <w:link w:val="Heading5Char"/>
    <w:uiPriority w:val="9"/>
    <w:unhideWhenUsed/>
    <w:qFormat/>
    <w:rsid w:val="005A1B22"/>
    <w:pPr>
      <w:spacing w:before="240" w:after="60" w:line="259"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5A1B22"/>
    <w:pPr>
      <w:spacing w:before="240" w:after="60" w:line="259"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5A1B22"/>
    <w:pPr>
      <w:spacing w:before="240" w:after="60" w:line="259"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4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6426"/>
    <w:rPr>
      <w:rFonts w:asciiTheme="minorHAnsi" w:hAnsiTheme="minorHAnsi" w:cstheme="minorBidi"/>
      <w:sz w:val="22"/>
    </w:rPr>
  </w:style>
  <w:style w:type="paragraph" w:styleId="Footer">
    <w:name w:val="footer"/>
    <w:basedOn w:val="Normal"/>
    <w:link w:val="FooterChar"/>
    <w:uiPriority w:val="99"/>
    <w:unhideWhenUsed/>
    <w:rsid w:val="009164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6426"/>
    <w:rPr>
      <w:rFonts w:asciiTheme="minorHAnsi" w:hAnsiTheme="minorHAnsi" w:cstheme="minorBidi"/>
      <w:sz w:val="22"/>
    </w:rPr>
  </w:style>
  <w:style w:type="paragraph" w:styleId="BalloonText">
    <w:name w:val="Balloon Text"/>
    <w:basedOn w:val="Normal"/>
    <w:link w:val="BalloonTextChar"/>
    <w:uiPriority w:val="99"/>
    <w:semiHidden/>
    <w:unhideWhenUsed/>
    <w:rsid w:val="0061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37F"/>
    <w:rPr>
      <w:rFonts w:ascii="Tahoma" w:hAnsi="Tahoma" w:cs="Tahoma"/>
      <w:sz w:val="16"/>
      <w:szCs w:val="16"/>
    </w:rPr>
  </w:style>
  <w:style w:type="character" w:customStyle="1" w:styleId="Heading1Char">
    <w:name w:val="Heading 1 Char"/>
    <w:basedOn w:val="DefaultParagraphFont"/>
    <w:link w:val="Heading1"/>
    <w:uiPriority w:val="9"/>
    <w:rsid w:val="005A1B22"/>
    <w:rPr>
      <w:rFonts w:ascii="Calibri Light" w:eastAsia="MS Gothic" w:hAnsi="Calibri Light"/>
      <w:b/>
      <w:bCs/>
      <w:color w:val="2E74B5"/>
      <w:sz w:val="28"/>
      <w:szCs w:val="28"/>
    </w:rPr>
  </w:style>
  <w:style w:type="character" w:customStyle="1" w:styleId="Heading2Char">
    <w:name w:val="Heading 2 Char"/>
    <w:basedOn w:val="DefaultParagraphFont"/>
    <w:link w:val="Heading2"/>
    <w:uiPriority w:val="9"/>
    <w:rsid w:val="005A1B22"/>
    <w:rPr>
      <w:rFonts w:ascii="Calibri Light" w:eastAsia="MS Gothic" w:hAnsi="Calibri Light"/>
      <w:b/>
      <w:bCs/>
      <w:color w:val="5B9BD5"/>
      <w:sz w:val="26"/>
      <w:szCs w:val="26"/>
    </w:rPr>
  </w:style>
  <w:style w:type="character" w:customStyle="1" w:styleId="Heading3Char">
    <w:name w:val="Heading 3 Char"/>
    <w:basedOn w:val="DefaultParagraphFont"/>
    <w:link w:val="Heading3"/>
    <w:uiPriority w:val="9"/>
    <w:rsid w:val="005A1B22"/>
    <w:rPr>
      <w:rFonts w:ascii="Calibri Light" w:eastAsia="MS Gothic" w:hAnsi="Calibri Light"/>
      <w:b/>
      <w:bCs/>
      <w:color w:val="5B9BD5"/>
      <w:sz w:val="20"/>
      <w:szCs w:val="20"/>
    </w:rPr>
  </w:style>
  <w:style w:type="character" w:customStyle="1" w:styleId="Heading5Char">
    <w:name w:val="Heading 5 Char"/>
    <w:basedOn w:val="DefaultParagraphFont"/>
    <w:link w:val="Heading5"/>
    <w:uiPriority w:val="9"/>
    <w:rsid w:val="005A1B22"/>
    <w:rPr>
      <w:rFonts w:ascii="Calibri" w:eastAsia="Times New Roman" w:hAnsi="Calibri"/>
      <w:b/>
      <w:bCs/>
      <w:i/>
      <w:iCs/>
      <w:sz w:val="26"/>
      <w:szCs w:val="26"/>
    </w:rPr>
  </w:style>
  <w:style w:type="character" w:customStyle="1" w:styleId="Heading6Char">
    <w:name w:val="Heading 6 Char"/>
    <w:basedOn w:val="DefaultParagraphFont"/>
    <w:link w:val="Heading6"/>
    <w:uiPriority w:val="9"/>
    <w:rsid w:val="005A1B22"/>
    <w:rPr>
      <w:rFonts w:ascii="Calibri" w:eastAsia="Times New Roman" w:hAnsi="Calibri"/>
      <w:b/>
      <w:bCs/>
      <w:sz w:val="22"/>
    </w:rPr>
  </w:style>
  <w:style w:type="character" w:customStyle="1" w:styleId="Heading7Char">
    <w:name w:val="Heading 7 Char"/>
    <w:basedOn w:val="DefaultParagraphFont"/>
    <w:link w:val="Heading7"/>
    <w:uiPriority w:val="9"/>
    <w:rsid w:val="005A1B22"/>
    <w:rPr>
      <w:rFonts w:ascii="Calibri" w:eastAsia="Times New Roman" w:hAnsi="Calibri"/>
      <w:szCs w:val="24"/>
    </w:rPr>
  </w:style>
  <w:style w:type="paragraph" w:styleId="ListParagraph">
    <w:name w:val="List Paragraph"/>
    <w:basedOn w:val="Normal"/>
    <w:link w:val="ListParagraphChar"/>
    <w:uiPriority w:val="34"/>
    <w:qFormat/>
    <w:rsid w:val="005A1B22"/>
    <w:pPr>
      <w:spacing w:after="160" w:line="259" w:lineRule="auto"/>
      <w:ind w:left="720"/>
      <w:contextualSpacing/>
    </w:pPr>
    <w:rPr>
      <w:rFonts w:ascii="Calibri" w:eastAsia="Calibri" w:hAnsi="Calibri" w:cs="Times New Roman"/>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Car C"/>
    <w:basedOn w:val="Normal"/>
    <w:link w:val="FootnoteTextChar"/>
    <w:unhideWhenUsed/>
    <w:rsid w:val="005A1B22"/>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5A1B22"/>
    <w:rPr>
      <w:rFonts w:ascii="Calibri" w:eastAsia="Calibri" w:hAnsi="Calibri"/>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5A1B22"/>
    <w:rPr>
      <w:vertAlign w:val="superscript"/>
    </w:rPr>
  </w:style>
  <w:style w:type="table" w:styleId="TableGrid">
    <w:name w:val="Table Grid"/>
    <w:basedOn w:val="TableNormal"/>
    <w:rsid w:val="005A1B22"/>
    <w:pPr>
      <w:spacing w:after="0" w:line="240" w:lineRule="auto"/>
    </w:pPr>
    <w:rPr>
      <w:rFonts w:ascii="Times New Roman" w:eastAsia="Times New Roman" w:hAnsi="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5A1B22"/>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5A1B22"/>
    <w:rPr>
      <w:rFonts w:ascii="Calibri" w:eastAsia="Calibri" w:hAnsi="Calibri"/>
      <w:sz w:val="20"/>
      <w:szCs w:val="20"/>
    </w:rPr>
  </w:style>
  <w:style w:type="character" w:styleId="EndnoteReference">
    <w:name w:val="endnote reference"/>
    <w:uiPriority w:val="99"/>
    <w:semiHidden/>
    <w:unhideWhenUsed/>
    <w:rsid w:val="005A1B22"/>
    <w:rPr>
      <w:vertAlign w:val="superscript"/>
    </w:rPr>
  </w:style>
  <w:style w:type="character" w:customStyle="1" w:styleId="ldef">
    <w:name w:val="ldef"/>
    <w:basedOn w:val="DefaultParagraphFont"/>
    <w:rsid w:val="005A1B22"/>
  </w:style>
  <w:style w:type="character" w:styleId="Hyperlink">
    <w:name w:val="Hyperlink"/>
    <w:uiPriority w:val="99"/>
    <w:unhideWhenUsed/>
    <w:rsid w:val="005A1B22"/>
    <w:rPr>
      <w:color w:val="0563C1"/>
      <w:u w:val="single"/>
    </w:rPr>
  </w:style>
  <w:style w:type="character" w:styleId="CommentReference">
    <w:name w:val="annotation reference"/>
    <w:uiPriority w:val="99"/>
    <w:semiHidden/>
    <w:unhideWhenUsed/>
    <w:rsid w:val="005A1B22"/>
    <w:rPr>
      <w:sz w:val="16"/>
      <w:szCs w:val="16"/>
    </w:rPr>
  </w:style>
  <w:style w:type="paragraph" w:styleId="CommentText">
    <w:name w:val="annotation text"/>
    <w:basedOn w:val="Normal"/>
    <w:link w:val="CommentTextChar"/>
    <w:uiPriority w:val="99"/>
    <w:unhideWhenUsed/>
    <w:rsid w:val="005A1B22"/>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A1B22"/>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A1B22"/>
    <w:rPr>
      <w:b/>
      <w:bCs/>
    </w:rPr>
  </w:style>
  <w:style w:type="character" w:customStyle="1" w:styleId="CommentSubjectChar">
    <w:name w:val="Comment Subject Char"/>
    <w:basedOn w:val="CommentTextChar"/>
    <w:link w:val="CommentSubject"/>
    <w:uiPriority w:val="99"/>
    <w:semiHidden/>
    <w:rsid w:val="005A1B22"/>
    <w:rPr>
      <w:rFonts w:ascii="Calibri" w:eastAsia="Calibri" w:hAnsi="Calibri"/>
      <w:b/>
      <w:bCs/>
      <w:sz w:val="20"/>
      <w:szCs w:val="20"/>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5A1B2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5A1B22"/>
    <w:pPr>
      <w:tabs>
        <w:tab w:val="left" w:pos="709"/>
      </w:tabs>
      <w:spacing w:after="0" w:line="240" w:lineRule="auto"/>
    </w:pPr>
    <w:rPr>
      <w:rFonts w:ascii="Tahoma" w:eastAsia="Times New Roman" w:hAnsi="Tahoma" w:cs="Times New Roman"/>
      <w:sz w:val="24"/>
      <w:szCs w:val="24"/>
      <w:lang w:val="pl-PL" w:eastAsia="pl-PL"/>
    </w:rPr>
  </w:style>
  <w:style w:type="paragraph" w:styleId="NormalWeb">
    <w:name w:val="Normal (Web)"/>
    <w:basedOn w:val="Normal"/>
    <w:uiPriority w:val="99"/>
    <w:semiHidden/>
    <w:unhideWhenUsed/>
    <w:rsid w:val="005A1B22"/>
    <w:pPr>
      <w:spacing w:after="0" w:line="240" w:lineRule="auto"/>
      <w:ind w:firstLine="990"/>
      <w:jc w:val="both"/>
    </w:pPr>
    <w:rPr>
      <w:rFonts w:ascii="Times New Roman" w:eastAsia="Times New Roman" w:hAnsi="Times New Roman" w:cs="Times New Roman"/>
      <w:color w:val="000000"/>
      <w:sz w:val="24"/>
      <w:szCs w:val="24"/>
      <w:lang w:val="en-US"/>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5A1B22"/>
    <w:pPr>
      <w:tabs>
        <w:tab w:val="left" w:pos="709"/>
      </w:tabs>
      <w:spacing w:after="0" w:line="240" w:lineRule="auto"/>
    </w:pPr>
    <w:rPr>
      <w:rFonts w:ascii="Tahoma" w:eastAsia="Times New Roman" w:hAnsi="Tahoma" w:cs="Times New Roman"/>
      <w:sz w:val="24"/>
      <w:szCs w:val="24"/>
      <w:lang w:val="pl-PL" w:eastAsia="pl-PL"/>
    </w:rPr>
  </w:style>
  <w:style w:type="paragraph" w:styleId="Revision">
    <w:name w:val="Revision"/>
    <w:hidden/>
    <w:uiPriority w:val="99"/>
    <w:semiHidden/>
    <w:rsid w:val="005A1B22"/>
    <w:pPr>
      <w:spacing w:after="0" w:line="240" w:lineRule="auto"/>
    </w:pPr>
    <w:rPr>
      <w:rFonts w:ascii="Calibri" w:eastAsia="Calibri" w:hAnsi="Calibri"/>
      <w:sz w:val="22"/>
    </w:rPr>
  </w:style>
  <w:style w:type="paragraph" w:styleId="TOCHeading">
    <w:name w:val="TOC Heading"/>
    <w:basedOn w:val="Heading1"/>
    <w:next w:val="Normal"/>
    <w:uiPriority w:val="39"/>
    <w:qFormat/>
    <w:rsid w:val="005A1B22"/>
    <w:pPr>
      <w:spacing w:line="276" w:lineRule="auto"/>
      <w:outlineLvl w:val="9"/>
    </w:pPr>
    <w:rPr>
      <w:lang w:eastAsia="bg-BG"/>
    </w:rPr>
  </w:style>
  <w:style w:type="paragraph" w:styleId="TOC2">
    <w:name w:val="toc 2"/>
    <w:basedOn w:val="Normal"/>
    <w:next w:val="Normal"/>
    <w:autoRedefine/>
    <w:uiPriority w:val="39"/>
    <w:unhideWhenUsed/>
    <w:rsid w:val="005A1B22"/>
    <w:pPr>
      <w:spacing w:before="240" w:after="0" w:line="259" w:lineRule="auto"/>
    </w:pPr>
    <w:rPr>
      <w:rFonts w:ascii="Calibri" w:eastAsia="Calibri" w:hAnsi="Calibri" w:cs="Calibri"/>
      <w:b/>
      <w:bCs/>
      <w:sz w:val="20"/>
      <w:szCs w:val="20"/>
    </w:rPr>
  </w:style>
  <w:style w:type="paragraph" w:styleId="TOC3">
    <w:name w:val="toc 3"/>
    <w:basedOn w:val="Normal"/>
    <w:next w:val="Normal"/>
    <w:autoRedefine/>
    <w:uiPriority w:val="39"/>
    <w:unhideWhenUsed/>
    <w:rsid w:val="00872C12"/>
    <w:pPr>
      <w:tabs>
        <w:tab w:val="right" w:leader="dot" w:pos="9781"/>
      </w:tabs>
      <w:spacing w:after="0" w:line="240" w:lineRule="auto"/>
      <w:ind w:left="220"/>
    </w:pPr>
    <w:rPr>
      <w:rFonts w:asciiTheme="majorHAnsi" w:eastAsia="Calibri" w:hAnsiTheme="majorHAnsi" w:cs="Calibri"/>
      <w:noProof/>
    </w:rPr>
  </w:style>
  <w:style w:type="paragraph" w:customStyle="1" w:styleId="CharChar">
    <w:name w:val="Char Char"/>
    <w:basedOn w:val="Normal"/>
    <w:rsid w:val="005A1B22"/>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5A1B22"/>
    <w:pPr>
      <w:autoSpaceDE w:val="0"/>
      <w:autoSpaceDN w:val="0"/>
      <w:adjustRightInd w:val="0"/>
      <w:spacing w:after="0" w:line="240" w:lineRule="auto"/>
    </w:pPr>
    <w:rPr>
      <w:rFonts w:ascii="Times New Roman" w:eastAsia="Calibri" w:hAnsi="Times New Roman"/>
      <w:color w:val="000000"/>
      <w:szCs w:val="24"/>
    </w:rPr>
  </w:style>
  <w:style w:type="character" w:customStyle="1" w:styleId="msoins0">
    <w:name w:val="msoins"/>
    <w:basedOn w:val="DefaultParagraphFont"/>
    <w:rsid w:val="005A1B22"/>
  </w:style>
  <w:style w:type="character" w:customStyle="1" w:styleId="msodel0">
    <w:name w:val="msodel"/>
    <w:basedOn w:val="DefaultParagraphFont"/>
    <w:rsid w:val="005A1B22"/>
  </w:style>
  <w:style w:type="character" w:styleId="FollowedHyperlink">
    <w:name w:val="FollowedHyperlink"/>
    <w:uiPriority w:val="99"/>
    <w:semiHidden/>
    <w:unhideWhenUsed/>
    <w:rsid w:val="005A1B22"/>
    <w:rPr>
      <w:color w:val="954F72"/>
      <w:u w:val="single"/>
    </w:rPr>
  </w:style>
  <w:style w:type="paragraph" w:customStyle="1" w:styleId="CharChar2CharCharCharCharCharCharCharCharCharCharCharCharCharCharCharCharCharCharCharCharCharCharCharCharCharCharCharChar1">
    <w:name w:val="Char Char2 Char Char Char Char Char Char Char Char Char Char Char Char Char Char Char Char Char Char Char Char Char Char Char Char Char Char Char Char1"/>
    <w:basedOn w:val="Normal"/>
    <w:rsid w:val="005A1B22"/>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basedOn w:val="TableNormal"/>
    <w:next w:val="TableGrid"/>
    <w:rsid w:val="005A1B22"/>
    <w:pPr>
      <w:spacing w:after="0" w:line="240" w:lineRule="auto"/>
    </w:pPr>
    <w:rPr>
      <w:rFonts w:ascii="Times New Roman" w:eastAsia="Times New Roman" w:hAnsi="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Знак Знак"/>
    <w:basedOn w:val="Normal"/>
    <w:rsid w:val="005A1B22"/>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1">
    <w:name w:val="List Paragraph1"/>
    <w:basedOn w:val="Normal"/>
    <w:uiPriority w:val="34"/>
    <w:qFormat/>
    <w:rsid w:val="005A1B22"/>
    <w:pPr>
      <w:spacing w:after="160" w:line="259" w:lineRule="auto"/>
      <w:ind w:left="720"/>
      <w:contextualSpacing/>
    </w:pPr>
    <w:rPr>
      <w:rFonts w:ascii="Calibri" w:eastAsia="Calibri" w:hAnsi="Calibri" w:cs="Times New Roman"/>
    </w:rPr>
  </w:style>
  <w:style w:type="character" w:customStyle="1" w:styleId="apple-converted-space">
    <w:name w:val="apple-converted-space"/>
    <w:basedOn w:val="DefaultParagraphFont"/>
    <w:rsid w:val="005A1B22"/>
  </w:style>
  <w:style w:type="character" w:customStyle="1" w:styleId="italic">
    <w:name w:val="italic"/>
    <w:basedOn w:val="DefaultParagraphFont"/>
    <w:rsid w:val="005A1B22"/>
  </w:style>
  <w:style w:type="paragraph" w:styleId="BodyText">
    <w:name w:val="Body Text"/>
    <w:basedOn w:val="Normal"/>
    <w:link w:val="BodyTextChar"/>
    <w:qFormat/>
    <w:rsid w:val="005A1B22"/>
    <w:pPr>
      <w:widowControl w:val="0"/>
      <w:spacing w:after="0" w:line="240" w:lineRule="auto"/>
    </w:pPr>
    <w:rPr>
      <w:rFonts w:ascii="Calibri" w:eastAsia="Calibri" w:hAnsi="Calibri" w:cs="Times New Roman"/>
      <w:sz w:val="24"/>
      <w:szCs w:val="24"/>
      <w:lang w:val="en-US"/>
    </w:rPr>
  </w:style>
  <w:style w:type="character" w:customStyle="1" w:styleId="BodyTextChar">
    <w:name w:val="Body Text Char"/>
    <w:basedOn w:val="DefaultParagraphFont"/>
    <w:link w:val="BodyText"/>
    <w:rsid w:val="005A1B22"/>
    <w:rPr>
      <w:rFonts w:ascii="Calibri" w:eastAsia="Calibri" w:hAnsi="Calibri"/>
      <w:szCs w:val="24"/>
      <w:lang w:val="en-US"/>
    </w:rPr>
  </w:style>
  <w:style w:type="paragraph" w:styleId="IntenseQuote">
    <w:name w:val="Intense Quote"/>
    <w:basedOn w:val="Normal"/>
    <w:next w:val="Normal"/>
    <w:link w:val="IntenseQuoteChar"/>
    <w:uiPriority w:val="30"/>
    <w:qFormat/>
    <w:rsid w:val="005A1B22"/>
    <w:pPr>
      <w:pBdr>
        <w:bottom w:val="single" w:sz="4" w:space="4" w:color="4F81BD"/>
      </w:pBdr>
      <w:spacing w:before="200" w:after="280" w:line="259" w:lineRule="auto"/>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uiPriority w:val="30"/>
    <w:rsid w:val="005A1B22"/>
    <w:rPr>
      <w:rFonts w:ascii="Calibri" w:eastAsia="Calibri" w:hAnsi="Calibri"/>
      <w:b/>
      <w:bCs/>
      <w:i/>
      <w:iCs/>
      <w:color w:val="4F81BD"/>
      <w:sz w:val="22"/>
    </w:rPr>
  </w:style>
  <w:style w:type="paragraph" w:styleId="List">
    <w:name w:val="List"/>
    <w:basedOn w:val="Normal"/>
    <w:uiPriority w:val="99"/>
    <w:unhideWhenUsed/>
    <w:rsid w:val="005A1B22"/>
    <w:pPr>
      <w:spacing w:after="160" w:line="259" w:lineRule="auto"/>
      <w:ind w:left="283" w:hanging="283"/>
      <w:contextualSpacing/>
    </w:pPr>
    <w:rPr>
      <w:rFonts w:ascii="Calibri" w:eastAsia="Calibri" w:hAnsi="Calibri" w:cs="Times New Roman"/>
    </w:rPr>
  </w:style>
  <w:style w:type="paragraph" w:styleId="List3">
    <w:name w:val="List 3"/>
    <w:basedOn w:val="Normal"/>
    <w:uiPriority w:val="99"/>
    <w:unhideWhenUsed/>
    <w:rsid w:val="005A1B22"/>
    <w:pPr>
      <w:spacing w:after="160" w:line="259" w:lineRule="auto"/>
      <w:ind w:left="849" w:hanging="283"/>
      <w:contextualSpacing/>
    </w:pPr>
    <w:rPr>
      <w:rFonts w:ascii="Calibri" w:eastAsia="Calibri" w:hAnsi="Calibri" w:cs="Times New Roman"/>
    </w:rPr>
  </w:style>
  <w:style w:type="paragraph" w:styleId="List4">
    <w:name w:val="List 4"/>
    <w:basedOn w:val="Normal"/>
    <w:uiPriority w:val="99"/>
    <w:unhideWhenUsed/>
    <w:rsid w:val="005A1B22"/>
    <w:pPr>
      <w:spacing w:after="160" w:line="259" w:lineRule="auto"/>
      <w:ind w:left="1132" w:hanging="283"/>
      <w:contextualSpacing/>
    </w:pPr>
    <w:rPr>
      <w:rFonts w:ascii="Calibri" w:eastAsia="Calibri" w:hAnsi="Calibri" w:cs="Times New Roman"/>
    </w:rPr>
  </w:style>
  <w:style w:type="paragraph" w:styleId="List5">
    <w:name w:val="List 5"/>
    <w:basedOn w:val="Normal"/>
    <w:uiPriority w:val="99"/>
    <w:unhideWhenUsed/>
    <w:rsid w:val="005A1B22"/>
    <w:pPr>
      <w:spacing w:after="160" w:line="259" w:lineRule="auto"/>
      <w:ind w:left="1415" w:hanging="283"/>
      <w:contextualSpacing/>
    </w:pPr>
    <w:rPr>
      <w:rFonts w:ascii="Calibri" w:eastAsia="Calibri" w:hAnsi="Calibri" w:cs="Times New Roman"/>
    </w:rPr>
  </w:style>
  <w:style w:type="paragraph" w:styleId="ListBullet">
    <w:name w:val="List Bullet"/>
    <w:basedOn w:val="Normal"/>
    <w:uiPriority w:val="99"/>
    <w:unhideWhenUsed/>
    <w:rsid w:val="005A1B22"/>
    <w:pPr>
      <w:numPr>
        <w:numId w:val="11"/>
      </w:numPr>
      <w:spacing w:after="160" w:line="259" w:lineRule="auto"/>
      <w:contextualSpacing/>
    </w:pPr>
    <w:rPr>
      <w:rFonts w:ascii="Calibri" w:eastAsia="Calibri" w:hAnsi="Calibri" w:cs="Times New Roman"/>
    </w:rPr>
  </w:style>
  <w:style w:type="paragraph" w:styleId="ListBullet2">
    <w:name w:val="List Bullet 2"/>
    <w:basedOn w:val="Normal"/>
    <w:uiPriority w:val="99"/>
    <w:unhideWhenUsed/>
    <w:rsid w:val="005A1B22"/>
    <w:pPr>
      <w:numPr>
        <w:numId w:val="12"/>
      </w:numPr>
      <w:spacing w:after="160" w:line="259" w:lineRule="auto"/>
      <w:contextualSpacing/>
    </w:pPr>
    <w:rPr>
      <w:rFonts w:ascii="Calibri" w:eastAsia="Calibri" w:hAnsi="Calibri" w:cs="Times New Roman"/>
    </w:rPr>
  </w:style>
  <w:style w:type="paragraph" w:styleId="ListBullet3">
    <w:name w:val="List Bullet 3"/>
    <w:basedOn w:val="Normal"/>
    <w:uiPriority w:val="99"/>
    <w:unhideWhenUsed/>
    <w:rsid w:val="005A1B22"/>
    <w:pPr>
      <w:numPr>
        <w:numId w:val="13"/>
      </w:numPr>
      <w:spacing w:after="160" w:line="259" w:lineRule="auto"/>
      <w:contextualSpacing/>
    </w:pPr>
    <w:rPr>
      <w:rFonts w:ascii="Calibri" w:eastAsia="Calibri" w:hAnsi="Calibri" w:cs="Times New Roman"/>
    </w:rPr>
  </w:style>
  <w:style w:type="paragraph" w:styleId="ListBullet4">
    <w:name w:val="List Bullet 4"/>
    <w:basedOn w:val="Normal"/>
    <w:uiPriority w:val="99"/>
    <w:unhideWhenUsed/>
    <w:rsid w:val="005A1B22"/>
    <w:pPr>
      <w:numPr>
        <w:numId w:val="14"/>
      </w:numPr>
      <w:spacing w:after="160" w:line="259" w:lineRule="auto"/>
      <w:contextualSpacing/>
    </w:pPr>
    <w:rPr>
      <w:rFonts w:ascii="Calibri" w:eastAsia="Calibri" w:hAnsi="Calibri" w:cs="Times New Roman"/>
    </w:rPr>
  </w:style>
  <w:style w:type="paragraph" w:styleId="ListContinue">
    <w:name w:val="List Continue"/>
    <w:basedOn w:val="Normal"/>
    <w:uiPriority w:val="99"/>
    <w:unhideWhenUsed/>
    <w:rsid w:val="005A1B22"/>
    <w:pPr>
      <w:spacing w:after="120" w:line="259" w:lineRule="auto"/>
      <w:ind w:left="283"/>
      <w:contextualSpacing/>
    </w:pPr>
    <w:rPr>
      <w:rFonts w:ascii="Calibri" w:eastAsia="Calibri" w:hAnsi="Calibri" w:cs="Times New Roman"/>
    </w:rPr>
  </w:style>
  <w:style w:type="paragraph" w:styleId="ListContinue2">
    <w:name w:val="List Continue 2"/>
    <w:basedOn w:val="Normal"/>
    <w:uiPriority w:val="99"/>
    <w:unhideWhenUsed/>
    <w:rsid w:val="005A1B22"/>
    <w:pPr>
      <w:spacing w:after="120" w:line="259" w:lineRule="auto"/>
      <w:ind w:left="566"/>
      <w:contextualSpacing/>
    </w:pPr>
    <w:rPr>
      <w:rFonts w:ascii="Calibri" w:eastAsia="Calibri" w:hAnsi="Calibri" w:cs="Times New Roman"/>
    </w:rPr>
  </w:style>
  <w:style w:type="paragraph" w:styleId="ListContinue3">
    <w:name w:val="List Continue 3"/>
    <w:basedOn w:val="Normal"/>
    <w:uiPriority w:val="99"/>
    <w:unhideWhenUsed/>
    <w:rsid w:val="005A1B22"/>
    <w:pPr>
      <w:spacing w:after="120" w:line="259" w:lineRule="auto"/>
      <w:ind w:left="849"/>
      <w:contextualSpacing/>
    </w:pPr>
    <w:rPr>
      <w:rFonts w:ascii="Calibri" w:eastAsia="Calibri" w:hAnsi="Calibri" w:cs="Times New Roman"/>
    </w:rPr>
  </w:style>
  <w:style w:type="paragraph" w:styleId="TOC1">
    <w:name w:val="toc 1"/>
    <w:basedOn w:val="Normal"/>
    <w:next w:val="Normal"/>
    <w:autoRedefine/>
    <w:uiPriority w:val="39"/>
    <w:unhideWhenUsed/>
    <w:rsid w:val="005A1B22"/>
    <w:pPr>
      <w:spacing w:before="360" w:after="0" w:line="259" w:lineRule="auto"/>
    </w:pPr>
    <w:rPr>
      <w:rFonts w:ascii="Cambria" w:eastAsia="Calibri" w:hAnsi="Cambria" w:cs="Times New Roman"/>
      <w:b/>
      <w:bCs/>
      <w:caps/>
      <w:sz w:val="24"/>
      <w:szCs w:val="24"/>
    </w:rPr>
  </w:style>
  <w:style w:type="paragraph" w:styleId="TOC4">
    <w:name w:val="toc 4"/>
    <w:basedOn w:val="Normal"/>
    <w:next w:val="Normal"/>
    <w:autoRedefine/>
    <w:uiPriority w:val="39"/>
    <w:unhideWhenUsed/>
    <w:rsid w:val="005A1B22"/>
    <w:pPr>
      <w:spacing w:after="0" w:line="259" w:lineRule="auto"/>
      <w:ind w:left="440"/>
    </w:pPr>
    <w:rPr>
      <w:rFonts w:ascii="Calibri" w:eastAsia="Calibri" w:hAnsi="Calibri" w:cs="Calibri"/>
      <w:sz w:val="20"/>
      <w:szCs w:val="20"/>
    </w:rPr>
  </w:style>
  <w:style w:type="paragraph" w:styleId="TOC5">
    <w:name w:val="toc 5"/>
    <w:basedOn w:val="Normal"/>
    <w:next w:val="Normal"/>
    <w:autoRedefine/>
    <w:uiPriority w:val="39"/>
    <w:unhideWhenUsed/>
    <w:rsid w:val="005A1B22"/>
    <w:pPr>
      <w:spacing w:after="0" w:line="259" w:lineRule="auto"/>
      <w:ind w:left="660"/>
    </w:pPr>
    <w:rPr>
      <w:rFonts w:ascii="Calibri" w:eastAsia="Calibri" w:hAnsi="Calibri" w:cs="Calibri"/>
      <w:sz w:val="20"/>
      <w:szCs w:val="20"/>
    </w:rPr>
  </w:style>
  <w:style w:type="paragraph" w:styleId="TOC6">
    <w:name w:val="toc 6"/>
    <w:basedOn w:val="Normal"/>
    <w:next w:val="Normal"/>
    <w:autoRedefine/>
    <w:uiPriority w:val="39"/>
    <w:unhideWhenUsed/>
    <w:rsid w:val="005A1B22"/>
    <w:pPr>
      <w:spacing w:after="0" w:line="259" w:lineRule="auto"/>
      <w:ind w:left="880"/>
    </w:pPr>
    <w:rPr>
      <w:rFonts w:ascii="Calibri" w:eastAsia="Calibri" w:hAnsi="Calibri" w:cs="Calibri"/>
      <w:sz w:val="20"/>
      <w:szCs w:val="20"/>
    </w:rPr>
  </w:style>
  <w:style w:type="paragraph" w:styleId="TOC7">
    <w:name w:val="toc 7"/>
    <w:basedOn w:val="Normal"/>
    <w:next w:val="Normal"/>
    <w:autoRedefine/>
    <w:uiPriority w:val="39"/>
    <w:unhideWhenUsed/>
    <w:rsid w:val="005A1B22"/>
    <w:pPr>
      <w:spacing w:after="0" w:line="259" w:lineRule="auto"/>
      <w:ind w:left="1100"/>
    </w:pPr>
    <w:rPr>
      <w:rFonts w:ascii="Calibri" w:eastAsia="Calibri" w:hAnsi="Calibri" w:cs="Calibri"/>
      <w:sz w:val="20"/>
      <w:szCs w:val="20"/>
    </w:rPr>
  </w:style>
  <w:style w:type="paragraph" w:styleId="TOC8">
    <w:name w:val="toc 8"/>
    <w:basedOn w:val="Normal"/>
    <w:next w:val="Normal"/>
    <w:autoRedefine/>
    <w:uiPriority w:val="39"/>
    <w:unhideWhenUsed/>
    <w:rsid w:val="005A1B22"/>
    <w:pPr>
      <w:spacing w:after="0" w:line="259" w:lineRule="auto"/>
      <w:ind w:left="1320"/>
    </w:pPr>
    <w:rPr>
      <w:rFonts w:ascii="Calibri" w:eastAsia="Calibri" w:hAnsi="Calibri" w:cs="Calibri"/>
      <w:sz w:val="20"/>
      <w:szCs w:val="20"/>
    </w:rPr>
  </w:style>
  <w:style w:type="paragraph" w:styleId="TOC9">
    <w:name w:val="toc 9"/>
    <w:basedOn w:val="Normal"/>
    <w:next w:val="Normal"/>
    <w:autoRedefine/>
    <w:uiPriority w:val="39"/>
    <w:unhideWhenUsed/>
    <w:rsid w:val="005A1B22"/>
    <w:pPr>
      <w:spacing w:after="0" w:line="259" w:lineRule="auto"/>
      <w:ind w:left="1540"/>
    </w:pPr>
    <w:rPr>
      <w:rFonts w:ascii="Calibri" w:eastAsia="Calibri" w:hAnsi="Calibri" w:cs="Calibri"/>
      <w:sz w:val="20"/>
      <w:szCs w:val="20"/>
    </w:rPr>
  </w:style>
  <w:style w:type="character" w:customStyle="1" w:styleId="ListParagraphChar">
    <w:name w:val="List Paragraph Char"/>
    <w:link w:val="ListParagraph"/>
    <w:uiPriority w:val="34"/>
    <w:locked/>
    <w:rsid w:val="005A1B22"/>
    <w:rPr>
      <w:rFonts w:ascii="Calibri" w:eastAsia="Calibri" w:hAnsi="Calibri"/>
      <w:sz w:val="22"/>
    </w:rPr>
  </w:style>
</w:styles>
</file>

<file path=word/webSettings.xml><?xml version="1.0" encoding="utf-8"?>
<w:webSettings xmlns:r="http://schemas.openxmlformats.org/officeDocument/2006/relationships" xmlns:w="http://schemas.openxmlformats.org/wordprocessingml/2006/main">
  <w:divs>
    <w:div w:id="58268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yperlink" Target="https://eumis2020.government.bg" TargetMode="External"/><Relationship Id="rId3" Type="http://schemas.openxmlformats.org/officeDocument/2006/relationships/styles" Target="styles.xml"/><Relationship Id="rId21" Type="http://schemas.openxmlformats.org/officeDocument/2006/relationships/hyperlink" Target="https://eumis2020.government.b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tateaid.minfin.b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pcompetitiveness.bg/module3.php?menu_id=359" TargetMode="External"/><Relationship Id="rId20" Type="http://schemas.openxmlformats.org/officeDocument/2006/relationships/hyperlink" Target="http://www.mig-kirkovo-zlatograd.com"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pcompetitiveness.bg/module3.php?menu_id=360"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mailto:mig-zlatograd-kirkovo@abv.b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mailto:e-docs@mi.government.b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ig-kirkovo-zlatograd.com/index.php/about-us/osnovni-dokumenti/pravila-za-rabota"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6B0AC-FB85-4D03-A09B-520F08A3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52</Pages>
  <Words>22645</Words>
  <Characters>129078</Characters>
  <Application>Microsoft Office Word</Application>
  <DocSecurity>0</DocSecurity>
  <Lines>1075</Lines>
  <Paragraphs>302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chingarov</dc:creator>
  <cp:lastModifiedBy>chingarov</cp:lastModifiedBy>
  <cp:revision>20</cp:revision>
  <cp:lastPrinted>2018-10-04T14:02:00Z</cp:lastPrinted>
  <dcterms:created xsi:type="dcterms:W3CDTF">2018-10-04T13:31:00Z</dcterms:created>
  <dcterms:modified xsi:type="dcterms:W3CDTF">2018-11-01T23:09:00Z</dcterms:modified>
</cp:coreProperties>
</file>