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40A" w:rsidRPr="00475D2B" w:rsidRDefault="005E640A" w:rsidP="005E640A">
      <w:pPr>
        <w:pStyle w:val="a4"/>
        <w:rPr>
          <w:lang w:val="bg-BG"/>
        </w:rPr>
      </w:pPr>
    </w:p>
    <w:p w:rsidR="006253BA" w:rsidRPr="006B789F" w:rsidRDefault="006253BA" w:rsidP="006253BA">
      <w:pPr>
        <w:ind w:right="342"/>
        <w:jc w:val="right"/>
        <w:rPr>
          <w:rFonts w:ascii="Cambria" w:hAnsi="Cambria"/>
          <w:szCs w:val="24"/>
          <w:lang w:eastAsia="en-US"/>
        </w:rPr>
      </w:pPr>
      <w:r>
        <w:rPr>
          <w:rFonts w:ascii="Cambria" w:hAnsi="Cambria"/>
          <w:noProof/>
          <w:szCs w:val="24"/>
          <w:lang w:val="bg-BG"/>
        </w:rPr>
        <w:drawing>
          <wp:anchor distT="0" distB="0" distL="114300" distR="114300" simplePos="0" relativeHeight="251658240" behindDoc="0" locked="0" layoutInCell="1" allowOverlap="1">
            <wp:simplePos x="0" y="0"/>
            <wp:positionH relativeFrom="column">
              <wp:posOffset>3961130</wp:posOffset>
            </wp:positionH>
            <wp:positionV relativeFrom="paragraph">
              <wp:posOffset>138430</wp:posOffset>
            </wp:positionV>
            <wp:extent cx="895350" cy="668655"/>
            <wp:effectExtent l="19050" t="0" r="0" b="0"/>
            <wp:wrapSquare wrapText="bothSides"/>
            <wp:docPr id="4"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pic:cNvPicPr>
                      <a:picLocks noChangeAspect="1" noChangeArrowheads="1"/>
                    </pic:cNvPicPr>
                  </pic:nvPicPr>
                  <pic:blipFill>
                    <a:blip r:embed="rId7" cstate="print"/>
                    <a:srcRect/>
                    <a:stretch>
                      <a:fillRect/>
                    </a:stretch>
                  </pic:blipFill>
                  <pic:spPr bwMode="auto">
                    <a:xfrm>
                      <a:off x="0" y="0"/>
                      <a:ext cx="895350" cy="668655"/>
                    </a:xfrm>
                    <a:prstGeom prst="rect">
                      <a:avLst/>
                    </a:prstGeom>
                    <a:noFill/>
                    <a:ln w="9525">
                      <a:noFill/>
                      <a:miter lim="800000"/>
                      <a:headEnd/>
                      <a:tailEnd/>
                    </a:ln>
                  </pic:spPr>
                </pic:pic>
              </a:graphicData>
            </a:graphic>
          </wp:anchor>
        </w:drawing>
      </w:r>
      <w:r>
        <w:rPr>
          <w:rFonts w:ascii="Cambria" w:hAnsi="Cambria"/>
          <w:noProof/>
          <w:szCs w:val="24"/>
          <w:lang w:val="bg-BG"/>
        </w:rPr>
        <w:drawing>
          <wp:anchor distT="0" distB="0" distL="114300" distR="114300" simplePos="0" relativeHeight="251658240" behindDoc="0" locked="0" layoutInCell="1" allowOverlap="1">
            <wp:simplePos x="0" y="0"/>
            <wp:positionH relativeFrom="column">
              <wp:posOffset>2003425</wp:posOffset>
            </wp:positionH>
            <wp:positionV relativeFrom="paragraph">
              <wp:posOffset>111760</wp:posOffset>
            </wp:positionV>
            <wp:extent cx="1891030" cy="763905"/>
            <wp:effectExtent l="19050" t="0" r="0" b="0"/>
            <wp:wrapSquare wrapText="bothSides"/>
            <wp:docPr id="6" name="Картина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6"/>
                    <pic:cNvPicPr>
                      <a:picLocks noChangeAspect="1" noChangeArrowheads="1"/>
                    </pic:cNvPicPr>
                  </pic:nvPicPr>
                  <pic:blipFill>
                    <a:blip r:embed="rId8"/>
                    <a:srcRect l="17035" t="15169" r="15656" b="66850"/>
                    <a:stretch>
                      <a:fillRect/>
                    </a:stretch>
                  </pic:blipFill>
                  <pic:spPr bwMode="auto">
                    <a:xfrm>
                      <a:off x="0" y="0"/>
                      <a:ext cx="1891030" cy="763905"/>
                    </a:xfrm>
                    <a:prstGeom prst="rect">
                      <a:avLst/>
                    </a:prstGeom>
                    <a:noFill/>
                    <a:ln w="9525">
                      <a:noFill/>
                      <a:miter lim="800000"/>
                      <a:headEnd/>
                      <a:tailEnd/>
                    </a:ln>
                  </pic:spPr>
                </pic:pic>
              </a:graphicData>
            </a:graphic>
          </wp:anchor>
        </w:drawing>
      </w:r>
      <w:r>
        <w:rPr>
          <w:noProof/>
          <w:lang w:val="bg-BG"/>
        </w:rPr>
        <w:drawing>
          <wp:anchor distT="0" distB="0" distL="114300" distR="114300" simplePos="0" relativeHeight="251658240" behindDoc="1" locked="0" layoutInCell="1" allowOverlap="1">
            <wp:simplePos x="0" y="0"/>
            <wp:positionH relativeFrom="column">
              <wp:posOffset>-101600</wp:posOffset>
            </wp:positionH>
            <wp:positionV relativeFrom="paragraph">
              <wp:posOffset>102235</wp:posOffset>
            </wp:positionV>
            <wp:extent cx="2219325" cy="742950"/>
            <wp:effectExtent l="0" t="0" r="0" b="0"/>
            <wp:wrapTight wrapText="bothSides">
              <wp:wrapPolygon edited="0">
                <wp:start x="371" y="2769"/>
                <wp:lineTo x="556" y="21046"/>
                <wp:lineTo x="10012" y="21046"/>
                <wp:lineTo x="14462" y="20492"/>
                <wp:lineTo x="20209" y="15508"/>
                <wp:lineTo x="20395" y="8862"/>
                <wp:lineTo x="19282" y="7754"/>
                <wp:lineTo x="10012" y="2769"/>
                <wp:lineTo x="371" y="2769"/>
              </wp:wrapPolygon>
            </wp:wrapTight>
            <wp:docPr id="7" name="Картина 753318" descr="ES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753318" descr="ESF.png"/>
                    <pic:cNvPicPr>
                      <a:picLocks noChangeAspect="1" noChangeArrowheads="1"/>
                    </pic:cNvPicPr>
                  </pic:nvPicPr>
                  <pic:blipFill>
                    <a:blip r:embed="rId9"/>
                    <a:srcRect b="16049"/>
                    <a:stretch>
                      <a:fillRect/>
                    </a:stretch>
                  </pic:blipFill>
                  <pic:spPr bwMode="auto">
                    <a:xfrm>
                      <a:off x="0" y="0"/>
                      <a:ext cx="2219325" cy="742950"/>
                    </a:xfrm>
                    <a:prstGeom prst="rect">
                      <a:avLst/>
                    </a:prstGeom>
                    <a:noFill/>
                    <a:ln w="9525">
                      <a:noFill/>
                      <a:miter lim="800000"/>
                      <a:headEnd/>
                      <a:tailEnd/>
                    </a:ln>
                  </pic:spPr>
                </pic:pic>
              </a:graphicData>
            </a:graphic>
          </wp:anchor>
        </w:drawing>
      </w:r>
      <w:r w:rsidRPr="006B789F">
        <w:rPr>
          <w:rFonts w:ascii="Cambria" w:hAnsi="Cambria"/>
          <w:szCs w:val="24"/>
          <w:lang w:eastAsia="en-US"/>
        </w:rPr>
        <w:tab/>
      </w:r>
    </w:p>
    <w:p w:rsidR="006253BA" w:rsidRPr="00587481" w:rsidRDefault="006253BA" w:rsidP="006253BA">
      <w:pPr>
        <w:tabs>
          <w:tab w:val="left" w:pos="1843"/>
          <w:tab w:val="left" w:pos="3402"/>
          <w:tab w:val="left" w:pos="3544"/>
          <w:tab w:val="center" w:pos="4536"/>
          <w:tab w:val="right" w:pos="9072"/>
        </w:tabs>
        <w:spacing w:after="200"/>
        <w:ind w:hanging="284"/>
        <w:rPr>
          <w:rFonts w:ascii="Cambria" w:eastAsia="Calibri" w:hAnsi="Cambria"/>
          <w:sz w:val="22"/>
          <w:lang w:eastAsia="en-US"/>
        </w:rPr>
      </w:pPr>
      <w:r>
        <w:rPr>
          <w:rFonts w:ascii="Cambria" w:hAnsi="Cambria"/>
          <w:noProof/>
          <w:szCs w:val="24"/>
          <w:lang w:val="bg-BG"/>
        </w:rPr>
        <w:drawing>
          <wp:anchor distT="0" distB="0" distL="114300" distR="114300" simplePos="0" relativeHeight="251658240" behindDoc="0" locked="0" layoutInCell="1" allowOverlap="1">
            <wp:simplePos x="0" y="0"/>
            <wp:positionH relativeFrom="column">
              <wp:posOffset>3284220</wp:posOffset>
            </wp:positionH>
            <wp:positionV relativeFrom="paragraph">
              <wp:posOffset>1270</wp:posOffset>
            </wp:positionV>
            <wp:extent cx="971550" cy="640715"/>
            <wp:effectExtent l="19050" t="19050" r="19050" b="26035"/>
            <wp:wrapSquare wrapText="bothSides"/>
            <wp:docPr id="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pic:cNvPicPr>
                      <a:picLocks noChangeAspect="1" noChangeArrowheads="1"/>
                    </pic:cNvPicPr>
                  </pic:nvPicPr>
                  <pic:blipFill>
                    <a:blip r:embed="rId10"/>
                    <a:srcRect/>
                    <a:stretch>
                      <a:fillRect/>
                    </a:stretch>
                  </pic:blipFill>
                  <pic:spPr bwMode="auto">
                    <a:xfrm>
                      <a:off x="0" y="0"/>
                      <a:ext cx="971550" cy="640715"/>
                    </a:xfrm>
                    <a:prstGeom prst="rect">
                      <a:avLst/>
                    </a:prstGeom>
                    <a:noFill/>
                    <a:ln w="9525" cmpd="sng">
                      <a:solidFill>
                        <a:srgbClr val="000000"/>
                      </a:solidFill>
                      <a:miter lim="800000"/>
                      <a:headEnd/>
                      <a:tailEnd/>
                    </a:ln>
                  </pic:spPr>
                </pic:pic>
              </a:graphicData>
            </a:graphic>
          </wp:anchor>
        </w:drawing>
      </w:r>
      <w:r w:rsidRPr="00587481">
        <w:rPr>
          <w:rFonts w:ascii="Cambria" w:eastAsia="Calibri" w:hAnsi="Cambria"/>
          <w:sz w:val="22"/>
          <w:lang w:eastAsia="en-US"/>
        </w:rPr>
        <w:tab/>
      </w:r>
    </w:p>
    <w:p w:rsidR="006253BA" w:rsidRPr="00587481" w:rsidRDefault="006253BA" w:rsidP="006253BA">
      <w:pPr>
        <w:tabs>
          <w:tab w:val="left" w:pos="3402"/>
          <w:tab w:val="left" w:pos="3544"/>
          <w:tab w:val="center" w:pos="4536"/>
          <w:tab w:val="right" w:pos="9072"/>
        </w:tabs>
        <w:spacing w:after="200"/>
        <w:ind w:hanging="284"/>
        <w:rPr>
          <w:rFonts w:ascii="Cambria" w:eastAsia="Calibri" w:hAnsi="Cambria"/>
          <w:sz w:val="22"/>
          <w:lang w:eastAsia="en-US"/>
        </w:rPr>
      </w:pPr>
    </w:p>
    <w:p w:rsidR="006253BA" w:rsidRPr="00142228" w:rsidRDefault="006253BA" w:rsidP="006253BA">
      <w:pPr>
        <w:tabs>
          <w:tab w:val="center" w:pos="8647"/>
          <w:tab w:val="right" w:pos="9072"/>
        </w:tabs>
        <w:spacing w:after="200"/>
        <w:ind w:right="-1"/>
        <w:jc w:val="center"/>
        <w:rPr>
          <w:rFonts w:ascii="Cambria" w:eastAsia="Calibri" w:hAnsi="Cambria"/>
          <w:b/>
          <w:spacing w:val="20"/>
          <w:sz w:val="10"/>
          <w:szCs w:val="10"/>
          <w:lang w:eastAsia="en-US"/>
        </w:rPr>
      </w:pPr>
    </w:p>
    <w:p w:rsidR="006253BA" w:rsidRDefault="006253BA" w:rsidP="006253BA">
      <w:pPr>
        <w:tabs>
          <w:tab w:val="center" w:pos="8647"/>
          <w:tab w:val="right" w:pos="9072"/>
        </w:tabs>
        <w:ind w:right="-1"/>
        <w:jc w:val="center"/>
        <w:rPr>
          <w:rFonts w:ascii="Cambria" w:eastAsia="Calibri" w:hAnsi="Cambria"/>
          <w:b/>
          <w:spacing w:val="20"/>
          <w:sz w:val="28"/>
          <w:szCs w:val="28"/>
          <w:lang w:val="bg-BG" w:eastAsia="en-US"/>
        </w:rPr>
      </w:pPr>
      <w:r w:rsidRPr="00D66929">
        <w:rPr>
          <w:rFonts w:ascii="Cambria" w:eastAsia="Calibri" w:hAnsi="Cambria"/>
          <w:b/>
          <w:spacing w:val="20"/>
          <w:sz w:val="28"/>
          <w:szCs w:val="28"/>
          <w:lang w:val="ru-RU" w:eastAsia="en-US"/>
        </w:rPr>
        <w:t xml:space="preserve">СДРУЖЕНИЕ С НЕСТОПАНСКА ЦЕЛ  </w:t>
      </w:r>
    </w:p>
    <w:p w:rsidR="006253BA" w:rsidRPr="00C24D98" w:rsidRDefault="006253BA" w:rsidP="006253BA">
      <w:pPr>
        <w:tabs>
          <w:tab w:val="center" w:pos="8647"/>
          <w:tab w:val="right" w:pos="9072"/>
        </w:tabs>
        <w:ind w:right="-1"/>
        <w:jc w:val="center"/>
        <w:rPr>
          <w:lang w:val="ru-RU"/>
        </w:rPr>
      </w:pPr>
      <w:r w:rsidRPr="00D66929">
        <w:rPr>
          <w:rFonts w:ascii="Cambria" w:eastAsia="Calibri" w:hAnsi="Cambria"/>
          <w:b/>
          <w:spacing w:val="20"/>
          <w:sz w:val="28"/>
          <w:szCs w:val="28"/>
          <w:lang w:val="ru-RU" w:eastAsia="en-US"/>
        </w:rPr>
        <w:t>“МЕСТНА ИНИЦИАТИВНА ГРУПА КИРКОВО - ЗЛАТОГРАД”</w:t>
      </w:r>
    </w:p>
    <w:p w:rsidR="006253BA" w:rsidRPr="00D66929" w:rsidRDefault="006253BA" w:rsidP="006253BA">
      <w:pPr>
        <w:pStyle w:val="a4"/>
        <w:rPr>
          <w:lang w:val="ru-RU"/>
        </w:rPr>
      </w:pPr>
    </w:p>
    <w:p w:rsidR="005E640A" w:rsidRPr="00475D2B" w:rsidRDefault="005E640A" w:rsidP="005E640A">
      <w:pPr>
        <w:tabs>
          <w:tab w:val="center" w:pos="4536"/>
          <w:tab w:val="right" w:pos="9072"/>
        </w:tabs>
        <w:ind w:right="-1"/>
        <w:jc w:val="center"/>
        <w:rPr>
          <w:lang w:val="bg-BG"/>
        </w:rPr>
      </w:pPr>
      <w:r w:rsidRPr="00475D2B">
        <w:rPr>
          <w:rFonts w:asciiTheme="majorHAnsi" w:hAnsiTheme="majorHAnsi"/>
          <w:b/>
          <w:spacing w:val="20"/>
          <w:sz w:val="28"/>
          <w:szCs w:val="28"/>
          <w:lang w:val="bg-BG"/>
        </w:rPr>
        <w:t>”</w:t>
      </w:r>
    </w:p>
    <w:p w:rsidR="005E640A" w:rsidRPr="00475D2B" w:rsidRDefault="005E640A" w:rsidP="005E640A">
      <w:pPr>
        <w:rPr>
          <w:rFonts w:asciiTheme="majorHAnsi" w:hAnsiTheme="majorHAnsi"/>
          <w:b/>
          <w:bCs/>
          <w:sz w:val="28"/>
          <w:szCs w:val="28"/>
          <w:lang w:val="bg-BG"/>
        </w:rPr>
      </w:pPr>
    </w:p>
    <w:p w:rsidR="005E640A" w:rsidRPr="00475D2B" w:rsidRDefault="005E640A" w:rsidP="005E640A">
      <w:pPr>
        <w:rPr>
          <w:rFonts w:asciiTheme="majorHAnsi" w:hAnsiTheme="majorHAnsi"/>
          <w:b/>
          <w:bCs/>
          <w:sz w:val="28"/>
          <w:szCs w:val="28"/>
          <w:lang w:val="bg-BG"/>
        </w:rPr>
      </w:pPr>
    </w:p>
    <w:p w:rsidR="005E640A" w:rsidRPr="00475D2B" w:rsidRDefault="005E640A" w:rsidP="005E640A">
      <w:pPr>
        <w:rPr>
          <w:rFonts w:asciiTheme="majorHAnsi" w:hAnsiTheme="majorHAnsi"/>
          <w:b/>
          <w:bCs/>
          <w:sz w:val="28"/>
          <w:szCs w:val="28"/>
          <w:lang w:val="bg-BG"/>
        </w:rPr>
      </w:pPr>
    </w:p>
    <w:p w:rsidR="005E640A" w:rsidRPr="00475D2B" w:rsidRDefault="005E640A" w:rsidP="005E640A">
      <w:pPr>
        <w:rPr>
          <w:rFonts w:asciiTheme="majorHAnsi" w:hAnsiTheme="majorHAnsi"/>
          <w:b/>
          <w:bCs/>
          <w:sz w:val="28"/>
          <w:szCs w:val="28"/>
          <w:lang w:val="bg-BG"/>
        </w:rPr>
      </w:pPr>
    </w:p>
    <w:p w:rsidR="005E640A" w:rsidRPr="00475D2B" w:rsidRDefault="005E640A" w:rsidP="005E640A">
      <w:pPr>
        <w:rPr>
          <w:rFonts w:asciiTheme="majorHAnsi" w:hAnsiTheme="majorHAnsi"/>
          <w:b/>
          <w:bCs/>
          <w:sz w:val="28"/>
          <w:szCs w:val="28"/>
          <w:lang w:val="bg-BG"/>
        </w:rPr>
      </w:pPr>
    </w:p>
    <w:p w:rsidR="005E640A" w:rsidRPr="00475D2B" w:rsidRDefault="005E640A" w:rsidP="005E640A">
      <w:pPr>
        <w:rPr>
          <w:rFonts w:asciiTheme="majorHAnsi" w:hAnsiTheme="majorHAnsi"/>
          <w:b/>
          <w:bCs/>
          <w:sz w:val="28"/>
          <w:szCs w:val="28"/>
          <w:lang w:val="bg-BG"/>
        </w:rPr>
      </w:pPr>
    </w:p>
    <w:p w:rsidR="005E640A" w:rsidRPr="00475D2B" w:rsidRDefault="005E640A" w:rsidP="005E640A">
      <w:pPr>
        <w:jc w:val="center"/>
        <w:rPr>
          <w:rFonts w:asciiTheme="majorHAnsi" w:hAnsiTheme="majorHAnsi"/>
          <w:b/>
          <w:bCs/>
          <w:sz w:val="44"/>
          <w:szCs w:val="28"/>
          <w:lang w:val="bg-BG"/>
        </w:rPr>
      </w:pPr>
      <w:r w:rsidRPr="00475D2B">
        <w:rPr>
          <w:rFonts w:asciiTheme="majorHAnsi" w:hAnsiTheme="majorHAnsi"/>
          <w:b/>
          <w:bCs/>
          <w:sz w:val="44"/>
          <w:szCs w:val="28"/>
          <w:lang w:val="bg-BG"/>
        </w:rPr>
        <w:t>УСЛОВИЯ ЗА ИЗПЪЛНЕНИЕ</w:t>
      </w:r>
    </w:p>
    <w:p w:rsidR="005E640A" w:rsidRPr="00475D2B" w:rsidRDefault="005E640A" w:rsidP="005E640A">
      <w:pPr>
        <w:jc w:val="center"/>
        <w:rPr>
          <w:rFonts w:asciiTheme="majorHAnsi" w:hAnsiTheme="majorHAnsi"/>
          <w:b/>
          <w:bCs/>
          <w:sz w:val="28"/>
          <w:szCs w:val="28"/>
          <w:lang w:val="bg-BG"/>
        </w:rPr>
      </w:pPr>
      <w:r w:rsidRPr="00475D2B">
        <w:rPr>
          <w:rFonts w:asciiTheme="majorHAnsi" w:hAnsiTheme="majorHAnsi"/>
          <w:b/>
          <w:bCs/>
          <w:sz w:val="28"/>
          <w:szCs w:val="28"/>
          <w:lang w:val="bg-BG"/>
        </w:rPr>
        <w:t>с проектни предложения</w:t>
      </w:r>
    </w:p>
    <w:p w:rsidR="005E640A" w:rsidRPr="00475D2B" w:rsidRDefault="005E640A" w:rsidP="005E640A">
      <w:pPr>
        <w:jc w:val="center"/>
        <w:rPr>
          <w:rFonts w:asciiTheme="majorHAnsi" w:hAnsiTheme="majorHAnsi"/>
          <w:b/>
          <w:bCs/>
          <w:sz w:val="28"/>
          <w:szCs w:val="28"/>
          <w:lang w:val="bg-BG"/>
        </w:rPr>
      </w:pPr>
      <w:r w:rsidRPr="00475D2B">
        <w:rPr>
          <w:rFonts w:asciiTheme="majorHAnsi" w:hAnsiTheme="majorHAnsi"/>
          <w:b/>
          <w:bCs/>
          <w:sz w:val="28"/>
          <w:szCs w:val="28"/>
          <w:lang w:val="bg-BG"/>
        </w:rPr>
        <w:t xml:space="preserve"> за предоставяне на безвъзмездна финансова помощ </w:t>
      </w:r>
    </w:p>
    <w:p w:rsidR="005E640A" w:rsidRPr="00475D2B" w:rsidRDefault="005E640A" w:rsidP="005E640A">
      <w:pPr>
        <w:jc w:val="center"/>
        <w:rPr>
          <w:rFonts w:asciiTheme="majorHAnsi" w:hAnsiTheme="majorHAnsi"/>
          <w:b/>
          <w:bCs/>
          <w:sz w:val="28"/>
          <w:szCs w:val="28"/>
          <w:lang w:val="bg-BG"/>
        </w:rPr>
      </w:pPr>
      <w:r w:rsidRPr="00475D2B">
        <w:rPr>
          <w:rFonts w:asciiTheme="majorHAnsi" w:hAnsiTheme="majorHAnsi"/>
          <w:b/>
          <w:bCs/>
          <w:sz w:val="28"/>
          <w:szCs w:val="28"/>
          <w:lang w:val="bg-BG"/>
        </w:rPr>
        <w:t xml:space="preserve">по Оперативна програма „Иновации и </w:t>
      </w:r>
    </w:p>
    <w:p w:rsidR="005E640A" w:rsidRPr="00475D2B" w:rsidRDefault="005E640A" w:rsidP="005E640A">
      <w:pPr>
        <w:jc w:val="center"/>
        <w:rPr>
          <w:rFonts w:asciiTheme="majorHAnsi" w:hAnsiTheme="majorHAnsi"/>
          <w:b/>
          <w:bCs/>
          <w:sz w:val="28"/>
          <w:szCs w:val="28"/>
          <w:lang w:val="bg-BG"/>
        </w:rPr>
      </w:pPr>
      <w:r w:rsidRPr="00475D2B">
        <w:rPr>
          <w:rFonts w:asciiTheme="majorHAnsi" w:hAnsiTheme="majorHAnsi"/>
          <w:b/>
          <w:bCs/>
          <w:sz w:val="28"/>
          <w:szCs w:val="28"/>
          <w:lang w:val="bg-BG"/>
        </w:rPr>
        <w:t xml:space="preserve">конкурентоспособност“ 2014-2020 в изпълнение </w:t>
      </w:r>
    </w:p>
    <w:p w:rsidR="005E640A" w:rsidRPr="00475D2B" w:rsidRDefault="005E640A" w:rsidP="005E640A">
      <w:pPr>
        <w:jc w:val="center"/>
        <w:rPr>
          <w:rFonts w:asciiTheme="majorHAnsi" w:hAnsiTheme="majorHAnsi"/>
          <w:b/>
          <w:bCs/>
          <w:sz w:val="28"/>
          <w:szCs w:val="28"/>
          <w:lang w:val="bg-BG"/>
        </w:rPr>
      </w:pPr>
      <w:r w:rsidRPr="00475D2B">
        <w:rPr>
          <w:rFonts w:asciiTheme="majorHAnsi" w:hAnsiTheme="majorHAnsi"/>
          <w:b/>
          <w:bCs/>
          <w:sz w:val="28"/>
          <w:szCs w:val="28"/>
          <w:lang w:val="bg-BG"/>
        </w:rPr>
        <w:t>на подхода  Водено от общностите местно развитие</w:t>
      </w:r>
    </w:p>
    <w:p w:rsidR="005E640A" w:rsidRPr="00475D2B" w:rsidRDefault="005E640A" w:rsidP="005E640A">
      <w:pPr>
        <w:jc w:val="center"/>
        <w:rPr>
          <w:rFonts w:asciiTheme="majorHAnsi" w:hAnsiTheme="majorHAnsi"/>
          <w:b/>
          <w:bCs/>
          <w:sz w:val="28"/>
          <w:szCs w:val="28"/>
          <w:lang w:val="bg-BG"/>
        </w:rPr>
      </w:pPr>
    </w:p>
    <w:p w:rsidR="005E640A" w:rsidRPr="00475D2B" w:rsidRDefault="005E640A" w:rsidP="005E640A">
      <w:pPr>
        <w:jc w:val="center"/>
        <w:rPr>
          <w:rFonts w:asciiTheme="majorHAnsi" w:hAnsiTheme="majorHAnsi"/>
          <w:b/>
          <w:bCs/>
          <w:sz w:val="28"/>
          <w:szCs w:val="28"/>
          <w:lang w:val="bg-BG"/>
        </w:rPr>
      </w:pPr>
    </w:p>
    <w:p w:rsidR="005E640A" w:rsidRPr="00475D2B" w:rsidRDefault="005E640A" w:rsidP="005E640A">
      <w:pPr>
        <w:jc w:val="center"/>
        <w:rPr>
          <w:rFonts w:asciiTheme="majorHAnsi" w:hAnsiTheme="majorHAnsi"/>
          <w:b/>
          <w:bCs/>
          <w:sz w:val="28"/>
          <w:szCs w:val="28"/>
          <w:lang w:val="bg-BG"/>
        </w:rPr>
      </w:pPr>
    </w:p>
    <w:p w:rsidR="005E640A" w:rsidRPr="00475D2B" w:rsidRDefault="005E640A" w:rsidP="005E640A">
      <w:pPr>
        <w:pBdr>
          <w:top w:val="single" w:sz="4" w:space="1" w:color="auto"/>
          <w:left w:val="single" w:sz="4" w:space="4" w:color="auto"/>
          <w:bottom w:val="single" w:sz="4" w:space="1" w:color="auto"/>
          <w:right w:val="single" w:sz="4" w:space="4" w:color="auto"/>
        </w:pBdr>
        <w:jc w:val="center"/>
        <w:rPr>
          <w:rFonts w:asciiTheme="majorHAnsi" w:hAnsiTheme="majorHAnsi"/>
          <w:b/>
          <w:bCs/>
          <w:sz w:val="40"/>
          <w:szCs w:val="28"/>
          <w:lang w:val="bg-BG"/>
        </w:rPr>
      </w:pPr>
      <w:r w:rsidRPr="00475D2B">
        <w:rPr>
          <w:rFonts w:asciiTheme="majorHAnsi" w:hAnsiTheme="majorHAnsi"/>
          <w:b/>
          <w:bCs/>
          <w:sz w:val="40"/>
          <w:szCs w:val="28"/>
          <w:lang w:val="bg-BG"/>
        </w:rPr>
        <w:t xml:space="preserve">Процедура на подбор на проекти </w:t>
      </w:r>
    </w:p>
    <w:p w:rsidR="005E640A" w:rsidRPr="00475D2B" w:rsidRDefault="005E640A" w:rsidP="005E640A">
      <w:pPr>
        <w:tabs>
          <w:tab w:val="left" w:pos="2177"/>
        </w:tabs>
        <w:spacing w:after="240"/>
        <w:jc w:val="center"/>
        <w:rPr>
          <w:rFonts w:asciiTheme="majorHAnsi" w:hAnsiTheme="majorHAnsi"/>
          <w:b/>
          <w:sz w:val="32"/>
          <w:szCs w:val="32"/>
          <w:lang w:val="bg-BG"/>
        </w:rPr>
      </w:pPr>
    </w:p>
    <w:p w:rsidR="005E640A" w:rsidRPr="00475D2B" w:rsidRDefault="005E640A" w:rsidP="005E640A">
      <w:pPr>
        <w:tabs>
          <w:tab w:val="left" w:pos="2177"/>
        </w:tabs>
        <w:spacing w:after="240"/>
        <w:jc w:val="center"/>
        <w:rPr>
          <w:rFonts w:asciiTheme="majorHAnsi" w:hAnsiTheme="majorHAnsi"/>
          <w:b/>
          <w:sz w:val="32"/>
          <w:szCs w:val="32"/>
          <w:lang w:val="bg-BG"/>
        </w:rPr>
      </w:pPr>
    </w:p>
    <w:p w:rsidR="005E640A" w:rsidRPr="00475D2B" w:rsidRDefault="005E640A" w:rsidP="005E640A">
      <w:pPr>
        <w:tabs>
          <w:tab w:val="left" w:pos="2177"/>
        </w:tabs>
        <w:spacing w:after="240"/>
        <w:jc w:val="center"/>
        <w:rPr>
          <w:rFonts w:asciiTheme="majorHAnsi" w:hAnsiTheme="majorHAnsi"/>
          <w:b/>
          <w:sz w:val="32"/>
          <w:szCs w:val="32"/>
          <w:lang w:val="bg-BG"/>
        </w:rPr>
      </w:pPr>
      <w:r w:rsidRPr="00475D2B">
        <w:rPr>
          <w:rFonts w:asciiTheme="majorHAnsi" w:hAnsiTheme="majorHAnsi"/>
          <w:b/>
          <w:sz w:val="32"/>
          <w:szCs w:val="32"/>
          <w:lang w:val="bg-BG"/>
        </w:rPr>
        <w:t>BG16RFOP002-</w:t>
      </w:r>
      <w:r w:rsidR="00496D25" w:rsidRPr="00475D2B">
        <w:rPr>
          <w:rFonts w:asciiTheme="majorHAnsi" w:hAnsiTheme="majorHAnsi"/>
          <w:b/>
          <w:sz w:val="32"/>
          <w:szCs w:val="32"/>
          <w:lang w:val="bg-BG"/>
        </w:rPr>
        <w:t xml:space="preserve">2.033 </w:t>
      </w:r>
      <w:r w:rsidRPr="00475D2B">
        <w:rPr>
          <w:rFonts w:asciiTheme="majorHAnsi" w:hAnsiTheme="majorHAnsi"/>
          <w:b/>
          <w:sz w:val="32"/>
          <w:szCs w:val="32"/>
          <w:lang w:val="bg-BG"/>
        </w:rPr>
        <w:t xml:space="preserve">МИГ Кирково-Златоград </w:t>
      </w:r>
    </w:p>
    <w:p w:rsidR="005E640A" w:rsidRPr="00475D2B" w:rsidRDefault="005E640A" w:rsidP="005E640A">
      <w:pPr>
        <w:tabs>
          <w:tab w:val="left" w:pos="2177"/>
        </w:tabs>
        <w:spacing w:after="240"/>
        <w:jc w:val="center"/>
        <w:rPr>
          <w:rFonts w:asciiTheme="majorHAnsi" w:hAnsiTheme="majorHAnsi"/>
          <w:b/>
          <w:i/>
          <w:sz w:val="32"/>
          <w:szCs w:val="32"/>
          <w:u w:val="single"/>
          <w:lang w:val="bg-BG"/>
        </w:rPr>
      </w:pPr>
      <w:r w:rsidRPr="00475D2B">
        <w:rPr>
          <w:rFonts w:asciiTheme="majorHAnsi" w:hAnsiTheme="majorHAnsi"/>
          <w:b/>
          <w:i/>
          <w:sz w:val="32"/>
          <w:szCs w:val="32"/>
          <w:u w:val="single"/>
          <w:lang w:val="bg-BG"/>
        </w:rPr>
        <w:t xml:space="preserve">ИК 2,2 „Подобряване на производствения капацитет в МСП </w:t>
      </w:r>
    </w:p>
    <w:p w:rsidR="005E640A" w:rsidRPr="00475D2B" w:rsidRDefault="005E640A" w:rsidP="005E640A">
      <w:pPr>
        <w:tabs>
          <w:tab w:val="left" w:pos="2177"/>
        </w:tabs>
        <w:spacing w:after="240"/>
        <w:jc w:val="center"/>
        <w:rPr>
          <w:rFonts w:asciiTheme="majorHAnsi" w:hAnsiTheme="majorHAnsi"/>
          <w:b/>
          <w:i/>
          <w:sz w:val="32"/>
          <w:szCs w:val="32"/>
          <w:u w:val="single"/>
          <w:lang w:val="bg-BG"/>
        </w:rPr>
      </w:pPr>
      <w:r w:rsidRPr="00475D2B">
        <w:rPr>
          <w:rFonts w:asciiTheme="majorHAnsi" w:hAnsiTheme="majorHAnsi"/>
          <w:b/>
          <w:i/>
          <w:sz w:val="32"/>
          <w:szCs w:val="32"/>
          <w:u w:val="single"/>
          <w:lang w:val="bg-BG"/>
        </w:rPr>
        <w:t>на територията на МИГ Кирково-Златоград“</w:t>
      </w:r>
    </w:p>
    <w:p w:rsidR="005E640A" w:rsidRPr="00475D2B" w:rsidRDefault="005E640A" w:rsidP="005E640A">
      <w:pPr>
        <w:tabs>
          <w:tab w:val="left" w:pos="2177"/>
        </w:tabs>
        <w:spacing w:after="240"/>
        <w:jc w:val="center"/>
        <w:rPr>
          <w:rFonts w:asciiTheme="majorHAnsi" w:hAnsiTheme="majorHAnsi"/>
          <w:b/>
          <w:i/>
          <w:sz w:val="32"/>
          <w:szCs w:val="32"/>
          <w:u w:val="single"/>
          <w:lang w:val="bg-BG"/>
        </w:rPr>
      </w:pPr>
    </w:p>
    <w:p w:rsidR="005E640A" w:rsidRPr="00475D2B" w:rsidRDefault="005E640A" w:rsidP="005E640A">
      <w:pPr>
        <w:jc w:val="center"/>
        <w:rPr>
          <w:rFonts w:asciiTheme="majorHAnsi" w:hAnsiTheme="majorHAnsi"/>
          <w:sz w:val="24"/>
          <w:szCs w:val="24"/>
          <w:lang w:val="bg-BG" w:eastAsia="en-US"/>
        </w:rPr>
        <w:sectPr w:rsidR="005E640A" w:rsidRPr="00475D2B" w:rsidSect="005E640A">
          <w:footerReference w:type="default" r:id="rId11"/>
          <w:pgSz w:w="11907" w:h="16840" w:code="9"/>
          <w:pgMar w:top="1134" w:right="708" w:bottom="1276" w:left="1560" w:header="142" w:footer="452" w:gutter="0"/>
          <w:cols w:space="708"/>
        </w:sectPr>
      </w:pPr>
    </w:p>
    <w:p w:rsidR="00B907A1" w:rsidRPr="00475D2B" w:rsidRDefault="00B907A1" w:rsidP="005E640A">
      <w:pPr>
        <w:jc w:val="center"/>
        <w:rPr>
          <w:rFonts w:asciiTheme="majorHAnsi" w:hAnsiTheme="majorHAnsi"/>
          <w:sz w:val="24"/>
          <w:szCs w:val="24"/>
          <w:lang w:val="bg-BG" w:eastAsia="en-US"/>
        </w:rPr>
      </w:pPr>
    </w:p>
    <w:p w:rsidR="005E640A" w:rsidRPr="00475D2B" w:rsidRDefault="005E640A" w:rsidP="005E640A">
      <w:pPr>
        <w:jc w:val="center"/>
        <w:rPr>
          <w:rFonts w:asciiTheme="majorHAnsi" w:hAnsiTheme="majorHAnsi"/>
          <w:sz w:val="24"/>
          <w:szCs w:val="24"/>
          <w:lang w:val="bg-BG" w:eastAsia="en-US"/>
        </w:rPr>
      </w:pPr>
    </w:p>
    <w:p w:rsidR="005E640A" w:rsidRPr="00475D2B" w:rsidRDefault="005E640A" w:rsidP="005E640A">
      <w:pPr>
        <w:jc w:val="center"/>
        <w:rPr>
          <w:rFonts w:asciiTheme="majorHAnsi" w:hAnsiTheme="majorHAnsi"/>
          <w:sz w:val="24"/>
          <w:szCs w:val="24"/>
          <w:lang w:val="bg-BG" w:eastAsia="en-US"/>
        </w:rPr>
      </w:pPr>
    </w:p>
    <w:p w:rsidR="005E640A" w:rsidRPr="00475D2B" w:rsidRDefault="005E640A" w:rsidP="005E640A">
      <w:pPr>
        <w:jc w:val="center"/>
        <w:rPr>
          <w:rFonts w:asciiTheme="majorHAnsi" w:hAnsiTheme="majorHAnsi"/>
          <w:sz w:val="24"/>
          <w:szCs w:val="24"/>
          <w:lang w:val="bg-BG" w:eastAsia="en-US"/>
        </w:rPr>
      </w:pPr>
    </w:p>
    <w:p w:rsidR="005E640A" w:rsidRPr="00475D2B" w:rsidRDefault="005E640A" w:rsidP="005E640A">
      <w:pPr>
        <w:jc w:val="center"/>
        <w:rPr>
          <w:rFonts w:asciiTheme="majorHAnsi" w:hAnsiTheme="majorHAnsi"/>
          <w:sz w:val="24"/>
          <w:szCs w:val="24"/>
          <w:lang w:val="bg-BG" w:eastAsia="en-US"/>
        </w:rPr>
      </w:pPr>
    </w:p>
    <w:p w:rsidR="005E640A" w:rsidRPr="00475D2B" w:rsidRDefault="005E640A" w:rsidP="005E640A">
      <w:pPr>
        <w:pStyle w:val="af3"/>
        <w:rPr>
          <w:rFonts w:asciiTheme="majorHAnsi" w:hAnsiTheme="majorHAnsi"/>
          <w:szCs w:val="24"/>
        </w:rPr>
      </w:pPr>
      <w:r w:rsidRPr="00475D2B">
        <w:rPr>
          <w:rFonts w:asciiTheme="majorHAnsi" w:hAnsiTheme="majorHAnsi"/>
          <w:szCs w:val="24"/>
        </w:rPr>
        <w:t>Съдържание</w:t>
      </w:r>
    </w:p>
    <w:p w:rsidR="005E640A" w:rsidRPr="00475D2B" w:rsidRDefault="005E640A" w:rsidP="005E640A">
      <w:pPr>
        <w:rPr>
          <w:rFonts w:asciiTheme="majorHAnsi" w:hAnsiTheme="majorHAnsi"/>
          <w:sz w:val="28"/>
          <w:szCs w:val="24"/>
          <w:lang w:val="bg-BG"/>
        </w:rPr>
      </w:pPr>
    </w:p>
    <w:p w:rsidR="005E640A" w:rsidRPr="00475D2B" w:rsidRDefault="00E350B9" w:rsidP="005E640A">
      <w:pPr>
        <w:pStyle w:val="22"/>
        <w:tabs>
          <w:tab w:val="right" w:leader="dot" w:pos="9346"/>
        </w:tabs>
        <w:ind w:left="0"/>
        <w:rPr>
          <w:rFonts w:asciiTheme="majorHAnsi" w:hAnsiTheme="majorHAnsi"/>
          <w:noProof/>
          <w:sz w:val="28"/>
          <w:szCs w:val="24"/>
          <w:lang w:eastAsia="bg-BG"/>
        </w:rPr>
      </w:pPr>
      <w:r w:rsidRPr="00E350B9">
        <w:rPr>
          <w:rFonts w:asciiTheme="majorHAnsi" w:hAnsiTheme="majorHAnsi"/>
          <w:sz w:val="28"/>
          <w:szCs w:val="24"/>
        </w:rPr>
        <w:fldChar w:fldCharType="begin"/>
      </w:r>
      <w:r w:rsidR="005E640A" w:rsidRPr="00475D2B">
        <w:rPr>
          <w:rFonts w:asciiTheme="majorHAnsi" w:hAnsiTheme="majorHAnsi"/>
          <w:sz w:val="28"/>
          <w:szCs w:val="24"/>
        </w:rPr>
        <w:instrText xml:space="preserve"> TOC \o "1-3" \h \z \u </w:instrText>
      </w:r>
      <w:r w:rsidRPr="00E350B9">
        <w:rPr>
          <w:rFonts w:asciiTheme="majorHAnsi" w:hAnsiTheme="majorHAnsi"/>
          <w:sz w:val="28"/>
          <w:szCs w:val="24"/>
        </w:rPr>
        <w:fldChar w:fldCharType="separate"/>
      </w:r>
      <w:hyperlink w:anchor="_Toc442348057" w:history="1">
        <w:r w:rsidR="005E640A" w:rsidRPr="00475D2B">
          <w:rPr>
            <w:rStyle w:val="ad"/>
            <w:rFonts w:asciiTheme="majorHAnsi" w:hAnsiTheme="majorHAnsi"/>
            <w:noProof/>
            <w:sz w:val="28"/>
            <w:szCs w:val="24"/>
          </w:rPr>
          <w:t>1. Техническо изпълнение на проектите</w:t>
        </w:r>
        <w:r w:rsidR="005E640A" w:rsidRPr="00475D2B">
          <w:rPr>
            <w:rFonts w:asciiTheme="majorHAnsi" w:hAnsiTheme="majorHAnsi"/>
            <w:noProof/>
            <w:webHidden/>
            <w:sz w:val="28"/>
            <w:szCs w:val="24"/>
          </w:rPr>
          <w:tab/>
        </w:r>
        <w:r w:rsidRPr="00475D2B">
          <w:rPr>
            <w:rFonts w:asciiTheme="majorHAnsi" w:hAnsiTheme="majorHAnsi"/>
            <w:noProof/>
            <w:webHidden/>
            <w:sz w:val="28"/>
            <w:szCs w:val="24"/>
          </w:rPr>
          <w:fldChar w:fldCharType="begin"/>
        </w:r>
        <w:r w:rsidR="005E640A" w:rsidRPr="00475D2B">
          <w:rPr>
            <w:rFonts w:asciiTheme="majorHAnsi" w:hAnsiTheme="majorHAnsi"/>
            <w:noProof/>
            <w:webHidden/>
            <w:sz w:val="28"/>
            <w:szCs w:val="24"/>
          </w:rPr>
          <w:instrText xml:space="preserve"> PAGEREF _Toc442348057 \h </w:instrText>
        </w:r>
        <w:r w:rsidRPr="00475D2B">
          <w:rPr>
            <w:rFonts w:asciiTheme="majorHAnsi" w:hAnsiTheme="majorHAnsi"/>
            <w:noProof/>
            <w:webHidden/>
            <w:sz w:val="28"/>
            <w:szCs w:val="24"/>
          </w:rPr>
        </w:r>
        <w:r w:rsidRPr="00475D2B">
          <w:rPr>
            <w:rFonts w:asciiTheme="majorHAnsi" w:hAnsiTheme="majorHAnsi"/>
            <w:noProof/>
            <w:webHidden/>
            <w:sz w:val="28"/>
            <w:szCs w:val="24"/>
          </w:rPr>
          <w:fldChar w:fldCharType="separate"/>
        </w:r>
        <w:r w:rsidR="00CA6680" w:rsidRPr="00475D2B">
          <w:rPr>
            <w:rFonts w:asciiTheme="majorHAnsi" w:hAnsiTheme="majorHAnsi"/>
            <w:noProof/>
            <w:webHidden/>
            <w:sz w:val="28"/>
            <w:szCs w:val="24"/>
          </w:rPr>
          <w:t>3</w:t>
        </w:r>
        <w:r w:rsidRPr="00475D2B">
          <w:rPr>
            <w:rFonts w:asciiTheme="majorHAnsi" w:hAnsiTheme="majorHAnsi"/>
            <w:noProof/>
            <w:webHidden/>
            <w:sz w:val="28"/>
            <w:szCs w:val="24"/>
          </w:rPr>
          <w:fldChar w:fldCharType="end"/>
        </w:r>
      </w:hyperlink>
    </w:p>
    <w:p w:rsidR="005E640A" w:rsidRPr="00475D2B" w:rsidRDefault="00E350B9" w:rsidP="005E640A">
      <w:pPr>
        <w:pStyle w:val="31"/>
        <w:rPr>
          <w:rFonts w:asciiTheme="majorHAnsi" w:hAnsiTheme="majorHAnsi"/>
          <w:noProof/>
          <w:sz w:val="28"/>
          <w:szCs w:val="24"/>
          <w:lang w:eastAsia="bg-BG"/>
        </w:rPr>
      </w:pPr>
      <w:hyperlink w:anchor="_Toc442348058" w:history="1">
        <w:r w:rsidR="005E640A" w:rsidRPr="00475D2B">
          <w:rPr>
            <w:rStyle w:val="ad"/>
            <w:rFonts w:asciiTheme="majorHAnsi" w:hAnsiTheme="majorHAnsi"/>
            <w:noProof/>
            <w:sz w:val="28"/>
            <w:szCs w:val="24"/>
          </w:rPr>
          <w:t>2. Финансово изпълнение на проектите и плащане</w:t>
        </w:r>
        <w:r w:rsidR="005E640A" w:rsidRPr="00475D2B">
          <w:rPr>
            <w:rFonts w:asciiTheme="majorHAnsi" w:hAnsiTheme="majorHAnsi"/>
            <w:noProof/>
            <w:webHidden/>
            <w:sz w:val="28"/>
            <w:szCs w:val="24"/>
          </w:rPr>
          <w:tab/>
        </w:r>
        <w:r w:rsidRPr="00475D2B">
          <w:rPr>
            <w:rFonts w:asciiTheme="majorHAnsi" w:hAnsiTheme="majorHAnsi"/>
            <w:noProof/>
            <w:webHidden/>
            <w:sz w:val="28"/>
            <w:szCs w:val="24"/>
          </w:rPr>
          <w:fldChar w:fldCharType="begin"/>
        </w:r>
        <w:r w:rsidR="005E640A" w:rsidRPr="00475D2B">
          <w:rPr>
            <w:rFonts w:asciiTheme="majorHAnsi" w:hAnsiTheme="majorHAnsi"/>
            <w:noProof/>
            <w:webHidden/>
            <w:sz w:val="28"/>
            <w:szCs w:val="24"/>
          </w:rPr>
          <w:instrText xml:space="preserve"> PAGEREF _Toc442348058 \h </w:instrText>
        </w:r>
        <w:r w:rsidRPr="00475D2B">
          <w:rPr>
            <w:rFonts w:asciiTheme="majorHAnsi" w:hAnsiTheme="majorHAnsi"/>
            <w:noProof/>
            <w:webHidden/>
            <w:sz w:val="28"/>
            <w:szCs w:val="24"/>
          </w:rPr>
        </w:r>
        <w:r w:rsidRPr="00475D2B">
          <w:rPr>
            <w:rFonts w:asciiTheme="majorHAnsi" w:hAnsiTheme="majorHAnsi"/>
            <w:noProof/>
            <w:webHidden/>
            <w:sz w:val="28"/>
            <w:szCs w:val="24"/>
          </w:rPr>
          <w:fldChar w:fldCharType="separate"/>
        </w:r>
        <w:r w:rsidR="00CA6680" w:rsidRPr="00475D2B">
          <w:rPr>
            <w:rFonts w:asciiTheme="majorHAnsi" w:hAnsiTheme="majorHAnsi"/>
            <w:noProof/>
            <w:webHidden/>
            <w:sz w:val="28"/>
            <w:szCs w:val="24"/>
          </w:rPr>
          <w:t>5</w:t>
        </w:r>
        <w:r w:rsidRPr="00475D2B">
          <w:rPr>
            <w:rFonts w:asciiTheme="majorHAnsi" w:hAnsiTheme="majorHAnsi"/>
            <w:noProof/>
            <w:webHidden/>
            <w:sz w:val="28"/>
            <w:szCs w:val="24"/>
          </w:rPr>
          <w:fldChar w:fldCharType="end"/>
        </w:r>
      </w:hyperlink>
    </w:p>
    <w:p w:rsidR="005E640A" w:rsidRPr="00475D2B" w:rsidRDefault="00E350B9" w:rsidP="005E640A">
      <w:pPr>
        <w:pStyle w:val="31"/>
        <w:rPr>
          <w:rFonts w:asciiTheme="majorHAnsi" w:hAnsiTheme="majorHAnsi"/>
          <w:noProof/>
          <w:sz w:val="28"/>
          <w:szCs w:val="24"/>
          <w:lang w:eastAsia="bg-BG"/>
        </w:rPr>
      </w:pPr>
      <w:hyperlink w:anchor="_Toc442348059" w:history="1">
        <w:r w:rsidR="005E640A" w:rsidRPr="00475D2B">
          <w:rPr>
            <w:rStyle w:val="ad"/>
            <w:rFonts w:asciiTheme="majorHAnsi" w:hAnsiTheme="majorHAnsi"/>
            <w:noProof/>
            <w:sz w:val="28"/>
            <w:szCs w:val="24"/>
          </w:rPr>
          <w:t>3. Мерки за информиране и публичност</w:t>
        </w:r>
        <w:r w:rsidR="005E640A" w:rsidRPr="00475D2B">
          <w:rPr>
            <w:rFonts w:asciiTheme="majorHAnsi" w:hAnsiTheme="majorHAnsi"/>
            <w:noProof/>
            <w:webHidden/>
            <w:sz w:val="28"/>
            <w:szCs w:val="24"/>
          </w:rPr>
          <w:tab/>
        </w:r>
        <w:r w:rsidRPr="00475D2B">
          <w:rPr>
            <w:rFonts w:asciiTheme="majorHAnsi" w:hAnsiTheme="majorHAnsi"/>
            <w:noProof/>
            <w:webHidden/>
            <w:sz w:val="28"/>
            <w:szCs w:val="24"/>
          </w:rPr>
          <w:fldChar w:fldCharType="begin"/>
        </w:r>
        <w:r w:rsidR="005E640A" w:rsidRPr="00475D2B">
          <w:rPr>
            <w:rFonts w:asciiTheme="majorHAnsi" w:hAnsiTheme="majorHAnsi"/>
            <w:noProof/>
            <w:webHidden/>
            <w:sz w:val="28"/>
            <w:szCs w:val="24"/>
          </w:rPr>
          <w:instrText xml:space="preserve"> PAGEREF _Toc442348059 \h </w:instrText>
        </w:r>
        <w:r w:rsidRPr="00475D2B">
          <w:rPr>
            <w:rFonts w:asciiTheme="majorHAnsi" w:hAnsiTheme="majorHAnsi"/>
            <w:noProof/>
            <w:webHidden/>
            <w:sz w:val="28"/>
            <w:szCs w:val="24"/>
          </w:rPr>
        </w:r>
        <w:r w:rsidRPr="00475D2B">
          <w:rPr>
            <w:rFonts w:asciiTheme="majorHAnsi" w:hAnsiTheme="majorHAnsi"/>
            <w:noProof/>
            <w:webHidden/>
            <w:sz w:val="28"/>
            <w:szCs w:val="24"/>
          </w:rPr>
          <w:fldChar w:fldCharType="separate"/>
        </w:r>
        <w:r w:rsidR="00CA6680" w:rsidRPr="00475D2B">
          <w:rPr>
            <w:rFonts w:asciiTheme="majorHAnsi" w:hAnsiTheme="majorHAnsi"/>
            <w:noProof/>
            <w:webHidden/>
            <w:sz w:val="28"/>
            <w:szCs w:val="24"/>
          </w:rPr>
          <w:t>8</w:t>
        </w:r>
        <w:r w:rsidRPr="00475D2B">
          <w:rPr>
            <w:rFonts w:asciiTheme="majorHAnsi" w:hAnsiTheme="majorHAnsi"/>
            <w:noProof/>
            <w:webHidden/>
            <w:sz w:val="28"/>
            <w:szCs w:val="24"/>
          </w:rPr>
          <w:fldChar w:fldCharType="end"/>
        </w:r>
      </w:hyperlink>
    </w:p>
    <w:p w:rsidR="005E640A" w:rsidRPr="00475D2B" w:rsidRDefault="00E350B9" w:rsidP="005E640A">
      <w:pPr>
        <w:pStyle w:val="31"/>
        <w:rPr>
          <w:rStyle w:val="ad"/>
          <w:rFonts w:asciiTheme="majorHAnsi" w:hAnsiTheme="majorHAnsi"/>
          <w:noProof/>
          <w:sz w:val="28"/>
          <w:szCs w:val="24"/>
        </w:rPr>
      </w:pPr>
      <w:hyperlink w:anchor="_Toc442348060" w:history="1">
        <w:r w:rsidR="005E640A" w:rsidRPr="00475D2B">
          <w:rPr>
            <w:rStyle w:val="ad"/>
            <w:rFonts w:asciiTheme="majorHAnsi" w:hAnsiTheme="majorHAnsi"/>
            <w:noProof/>
            <w:sz w:val="28"/>
            <w:szCs w:val="24"/>
          </w:rPr>
          <w:t>4. Приложения към Условията за изпълнение:</w:t>
        </w:r>
        <w:r w:rsidR="005E640A" w:rsidRPr="00475D2B">
          <w:rPr>
            <w:rStyle w:val="ad"/>
            <w:rFonts w:asciiTheme="majorHAnsi" w:hAnsiTheme="majorHAnsi"/>
            <w:noProof/>
            <w:webHidden/>
            <w:sz w:val="28"/>
            <w:szCs w:val="24"/>
          </w:rPr>
          <w:tab/>
        </w:r>
        <w:r w:rsidRPr="00475D2B">
          <w:rPr>
            <w:rStyle w:val="ad"/>
            <w:rFonts w:asciiTheme="majorHAnsi" w:hAnsiTheme="majorHAnsi"/>
            <w:noProof/>
            <w:webHidden/>
            <w:sz w:val="28"/>
            <w:szCs w:val="24"/>
          </w:rPr>
          <w:fldChar w:fldCharType="begin"/>
        </w:r>
        <w:r w:rsidR="005E640A" w:rsidRPr="00475D2B">
          <w:rPr>
            <w:rStyle w:val="ad"/>
            <w:rFonts w:asciiTheme="majorHAnsi" w:hAnsiTheme="majorHAnsi"/>
            <w:noProof/>
            <w:webHidden/>
            <w:sz w:val="28"/>
            <w:szCs w:val="24"/>
          </w:rPr>
          <w:instrText xml:space="preserve"> PAGEREF _Toc442348060 \h </w:instrText>
        </w:r>
        <w:r w:rsidRPr="00475D2B">
          <w:rPr>
            <w:rStyle w:val="ad"/>
            <w:rFonts w:asciiTheme="majorHAnsi" w:hAnsiTheme="majorHAnsi"/>
            <w:noProof/>
            <w:webHidden/>
            <w:sz w:val="28"/>
            <w:szCs w:val="24"/>
          </w:rPr>
        </w:r>
        <w:r w:rsidRPr="00475D2B">
          <w:rPr>
            <w:rStyle w:val="ad"/>
            <w:rFonts w:asciiTheme="majorHAnsi" w:hAnsiTheme="majorHAnsi"/>
            <w:noProof/>
            <w:webHidden/>
            <w:sz w:val="28"/>
            <w:szCs w:val="24"/>
          </w:rPr>
          <w:fldChar w:fldCharType="separate"/>
        </w:r>
        <w:r w:rsidR="00CA6680" w:rsidRPr="00475D2B">
          <w:rPr>
            <w:rStyle w:val="ad"/>
            <w:rFonts w:asciiTheme="majorHAnsi" w:hAnsiTheme="majorHAnsi"/>
            <w:noProof/>
            <w:webHidden/>
            <w:sz w:val="28"/>
            <w:szCs w:val="24"/>
          </w:rPr>
          <w:t>9</w:t>
        </w:r>
        <w:r w:rsidRPr="00475D2B">
          <w:rPr>
            <w:rStyle w:val="ad"/>
            <w:rFonts w:asciiTheme="majorHAnsi" w:hAnsiTheme="majorHAnsi"/>
            <w:noProof/>
            <w:webHidden/>
            <w:sz w:val="28"/>
            <w:szCs w:val="24"/>
          </w:rPr>
          <w:fldChar w:fldCharType="end"/>
        </w:r>
      </w:hyperlink>
    </w:p>
    <w:p w:rsidR="005E640A" w:rsidRPr="00475D2B" w:rsidRDefault="00E350B9" w:rsidP="005E640A">
      <w:pPr>
        <w:rPr>
          <w:rFonts w:asciiTheme="majorHAnsi" w:hAnsiTheme="majorHAnsi"/>
          <w:sz w:val="24"/>
          <w:szCs w:val="24"/>
          <w:lang w:val="bg-BG"/>
        </w:rPr>
      </w:pPr>
      <w:r w:rsidRPr="00475D2B">
        <w:rPr>
          <w:rFonts w:asciiTheme="majorHAnsi" w:hAnsiTheme="majorHAnsi"/>
          <w:sz w:val="28"/>
          <w:szCs w:val="24"/>
          <w:lang w:val="bg-BG"/>
        </w:rPr>
        <w:fldChar w:fldCharType="end"/>
      </w:r>
    </w:p>
    <w:p w:rsidR="005E640A" w:rsidRPr="00475D2B" w:rsidRDefault="005E640A" w:rsidP="005E640A">
      <w:pPr>
        <w:rPr>
          <w:rFonts w:asciiTheme="majorHAnsi" w:hAnsiTheme="majorHAnsi"/>
          <w:b/>
          <w:bCs/>
          <w:color w:val="5B9BD5"/>
          <w:sz w:val="24"/>
          <w:szCs w:val="24"/>
          <w:lang w:val="bg-BG"/>
        </w:rPr>
      </w:pPr>
      <w:r w:rsidRPr="00475D2B">
        <w:rPr>
          <w:rFonts w:asciiTheme="majorHAnsi" w:hAnsiTheme="majorHAnsi"/>
          <w:sz w:val="24"/>
          <w:szCs w:val="24"/>
          <w:lang w:val="bg-BG"/>
        </w:rPr>
        <w:br w:type="page"/>
      </w:r>
    </w:p>
    <w:p w:rsidR="005E640A" w:rsidRPr="00475D2B" w:rsidRDefault="005E640A" w:rsidP="005E640A">
      <w:pPr>
        <w:pStyle w:val="2"/>
        <w:spacing w:before="120" w:after="120"/>
        <w:rPr>
          <w:rFonts w:asciiTheme="majorHAnsi" w:hAnsiTheme="majorHAnsi"/>
          <w:sz w:val="24"/>
          <w:szCs w:val="24"/>
          <w:lang w:val="bg-BG"/>
        </w:rPr>
      </w:pPr>
      <w:bookmarkStart w:id="0" w:name="_Toc442348057"/>
      <w:r w:rsidRPr="00475D2B">
        <w:rPr>
          <w:rFonts w:asciiTheme="majorHAnsi" w:hAnsiTheme="majorHAnsi"/>
          <w:sz w:val="24"/>
          <w:szCs w:val="24"/>
          <w:lang w:val="bg-BG"/>
        </w:rPr>
        <w:lastRenderedPageBreak/>
        <w:t>1. Техническо изпълнение на проектите</w:t>
      </w:r>
      <w:bookmarkEnd w:id="0"/>
    </w:p>
    <w:p w:rsidR="005E640A" w:rsidRPr="00475D2B" w:rsidRDefault="005E640A" w:rsidP="005E640A">
      <w:pPr>
        <w:pBdr>
          <w:top w:val="single" w:sz="4" w:space="1" w:color="auto"/>
          <w:left w:val="single" w:sz="4" w:space="4" w:color="auto"/>
          <w:bottom w:val="single" w:sz="4" w:space="1" w:color="auto"/>
          <w:right w:val="single" w:sz="4" w:space="4" w:color="auto"/>
        </w:pBdr>
        <w:spacing w:after="120"/>
        <w:jc w:val="both"/>
        <w:rPr>
          <w:rFonts w:asciiTheme="majorHAnsi" w:hAnsiTheme="majorHAnsi"/>
          <w:sz w:val="24"/>
          <w:szCs w:val="24"/>
          <w:lang w:val="bg-BG"/>
        </w:rPr>
      </w:pPr>
      <w:r w:rsidRPr="00475D2B">
        <w:rPr>
          <w:rFonts w:asciiTheme="majorHAnsi" w:hAnsiTheme="majorHAnsi"/>
          <w:sz w:val="24"/>
          <w:szCs w:val="24"/>
          <w:lang w:val="bg-BG"/>
        </w:rPr>
        <w:t xml:space="preserve">В процеса на изпълнение на проектите бенефициентите могат да възлагат на изпълнители (подизпълнители) извършването на определени дейности по проекта. Изпълнителите не са партньори по изпълнението на проекта и се избират в съответствие с реда за определяне на изпълнител от страна на бенефициенти на договорена безвъзмездна финансова помощ от ЕСИФ. </w:t>
      </w:r>
    </w:p>
    <w:p w:rsidR="005E640A" w:rsidRPr="00475D2B" w:rsidRDefault="005E640A" w:rsidP="005E640A">
      <w:pPr>
        <w:pBdr>
          <w:top w:val="single" w:sz="4" w:space="1" w:color="auto"/>
          <w:left w:val="single" w:sz="4" w:space="4" w:color="auto"/>
          <w:bottom w:val="single" w:sz="4" w:space="1" w:color="auto"/>
          <w:right w:val="single" w:sz="4" w:space="4" w:color="auto"/>
        </w:pBdr>
        <w:spacing w:after="120"/>
        <w:jc w:val="both"/>
        <w:rPr>
          <w:rFonts w:asciiTheme="majorHAnsi" w:hAnsiTheme="majorHAnsi"/>
          <w:sz w:val="24"/>
          <w:szCs w:val="24"/>
          <w:lang w:val="bg-BG"/>
        </w:rPr>
      </w:pPr>
      <w:r w:rsidRPr="00475D2B">
        <w:rPr>
          <w:rFonts w:asciiTheme="majorHAnsi" w:hAnsiTheme="majorHAnsi"/>
          <w:sz w:val="24"/>
          <w:szCs w:val="24"/>
          <w:lang w:val="bg-BG"/>
        </w:rPr>
        <w:t xml:space="preserve">В случаите, когато бенефициентът е възложител по смисъла на ЗОП, при избор на изпълнител/и същият задължително прилага разпоредбите на ЗОП и актовете по прилагането му, както и указанията, заложени в Ръководството за изпълнение на ДБФП по Оперативна програма "Иновации и конкурентоспособност" 2014-2020 (което може да бъде намерено на интернет страницата на Управляващия орган- </w:t>
      </w:r>
      <w:hyperlink r:id="rId12" w:history="1">
        <w:r w:rsidRPr="00475D2B">
          <w:rPr>
            <w:rStyle w:val="ad"/>
            <w:rFonts w:asciiTheme="majorHAnsi" w:eastAsia="MS Gothic" w:hAnsiTheme="majorHAnsi"/>
            <w:sz w:val="24"/>
            <w:szCs w:val="24"/>
            <w:lang w:val="bg-BG"/>
          </w:rPr>
          <w:t>http://opic.bg/opik/rkovodstvo-za-izplnenie-na-dbfp-po-operativna-programa-inovatsii-i-konkurentosposobnost-2014-2020</w:t>
        </w:r>
      </w:hyperlink>
      <w:r w:rsidRPr="00475D2B">
        <w:rPr>
          <w:rFonts w:asciiTheme="majorHAnsi" w:hAnsiTheme="majorHAnsi"/>
          <w:sz w:val="24"/>
          <w:szCs w:val="24"/>
          <w:lang w:val="bg-BG"/>
        </w:rPr>
        <w:t>).</w:t>
      </w:r>
    </w:p>
    <w:p w:rsidR="005E640A" w:rsidRPr="00475D2B" w:rsidRDefault="005E640A" w:rsidP="005E640A">
      <w:pPr>
        <w:pBdr>
          <w:top w:val="single" w:sz="4" w:space="1" w:color="auto"/>
          <w:left w:val="single" w:sz="4" w:space="4" w:color="auto"/>
          <w:bottom w:val="single" w:sz="4" w:space="1" w:color="auto"/>
          <w:right w:val="single" w:sz="4" w:space="4" w:color="auto"/>
        </w:pBdr>
        <w:spacing w:after="120"/>
        <w:jc w:val="both"/>
        <w:rPr>
          <w:rFonts w:asciiTheme="majorHAnsi" w:hAnsiTheme="majorHAnsi"/>
          <w:sz w:val="24"/>
          <w:szCs w:val="24"/>
          <w:lang w:val="bg-BG"/>
        </w:rPr>
      </w:pPr>
      <w:r w:rsidRPr="00475D2B">
        <w:rPr>
          <w:rFonts w:asciiTheme="majorHAnsi" w:hAnsiTheme="majorHAnsi"/>
          <w:b/>
          <w:sz w:val="24"/>
          <w:szCs w:val="24"/>
          <w:lang w:val="bg-BG"/>
        </w:rPr>
        <w:t>ВАЖНО:</w:t>
      </w:r>
      <w:r w:rsidRPr="00475D2B">
        <w:rPr>
          <w:rFonts w:asciiTheme="majorHAnsi" w:hAnsiTheme="majorHAnsi"/>
          <w:sz w:val="24"/>
          <w:szCs w:val="24"/>
          <w:lang w:val="bg-BG"/>
        </w:rPr>
        <w:t xml:space="preserve"> При избора на изпълнител/и на дейностите по проекта, в случай че е приложимо, бенефициентите следва да предвидят при възлагането на обществени поръчки прилагането на мерки за опазване на околната среда съгласно приложимите разпоредби на ЗОП и актовете по прилагането му и в съответствие с чл. 47, ал. 1 и чл. 63, ал. 1, т. 6 от ЗОП.  </w:t>
      </w:r>
    </w:p>
    <w:p w:rsidR="005E640A" w:rsidRPr="00475D2B" w:rsidRDefault="005E640A" w:rsidP="005E640A">
      <w:pPr>
        <w:pBdr>
          <w:top w:val="single" w:sz="4" w:space="1" w:color="auto"/>
          <w:left w:val="single" w:sz="4" w:space="4" w:color="auto"/>
          <w:bottom w:val="single" w:sz="4" w:space="1" w:color="auto"/>
          <w:right w:val="single" w:sz="4" w:space="4" w:color="auto"/>
        </w:pBdr>
        <w:spacing w:after="120"/>
        <w:jc w:val="both"/>
        <w:rPr>
          <w:rFonts w:asciiTheme="majorHAnsi" w:hAnsiTheme="majorHAnsi"/>
          <w:sz w:val="24"/>
          <w:szCs w:val="24"/>
          <w:lang w:val="bg-BG"/>
        </w:rPr>
      </w:pPr>
      <w:r w:rsidRPr="00475D2B">
        <w:rPr>
          <w:rFonts w:asciiTheme="majorHAnsi" w:hAnsiTheme="majorHAnsi"/>
          <w:sz w:val="24"/>
          <w:szCs w:val="24"/>
          <w:lang w:val="bg-BG"/>
        </w:rPr>
        <w:t xml:space="preserve">В случаите, когато бенефициентът не е възложител по смисъла на ЗОП, при избор на изпълнител/и същият задължително прилага разпоредбите на Глава четвърта от ЗУСЕСИФ и ПМС № 160 от 1 юли 2016 г. за определяне правилата за разглеждане и оценяване на оферти и сключването на договорите в процедурата за избор с публична покана от бенефициенти на безвъзмездна финансова помощ от ЕСИФ, както и указанията, заложени в Ръководството за изпълнение на ДБФП по Оперативна програма "Иновации и конкурентоспособност" 2014-2020. </w:t>
      </w:r>
    </w:p>
    <w:p w:rsidR="005E640A" w:rsidRPr="00475D2B" w:rsidRDefault="005E640A" w:rsidP="005E640A">
      <w:pPr>
        <w:pBdr>
          <w:top w:val="single" w:sz="4" w:space="1" w:color="auto"/>
          <w:left w:val="single" w:sz="4" w:space="4" w:color="auto"/>
          <w:bottom w:val="single" w:sz="4" w:space="1" w:color="auto"/>
          <w:right w:val="single" w:sz="4" w:space="4" w:color="auto"/>
        </w:pBdr>
        <w:spacing w:after="120"/>
        <w:jc w:val="both"/>
        <w:rPr>
          <w:rFonts w:asciiTheme="majorHAnsi" w:hAnsiTheme="majorHAnsi"/>
          <w:sz w:val="24"/>
          <w:szCs w:val="24"/>
          <w:lang w:val="bg-BG"/>
        </w:rPr>
      </w:pPr>
      <w:r w:rsidRPr="00475D2B">
        <w:rPr>
          <w:rFonts w:asciiTheme="majorHAnsi" w:hAnsiTheme="majorHAnsi"/>
          <w:sz w:val="24"/>
          <w:szCs w:val="24"/>
          <w:lang w:val="bg-BG"/>
        </w:rPr>
        <w:t>При подаване на междинен/финален отчет за изпълнението на проекта, Управляващият орган ще извършва задължителен последващ контрол и проверка за спазване на правилата за избор на изпълнители, като в случай че бъдат констатирани несъответствия, разходите за съответните дейности няма да бъдат признати, като ще бъдат прилагани съответни европейски и национални норми, както и правилата, утвърдени от Ръководителя на Управляващия орган.</w:t>
      </w:r>
    </w:p>
    <w:p w:rsidR="005E640A" w:rsidRPr="00475D2B" w:rsidRDefault="005E640A" w:rsidP="005E640A">
      <w:pPr>
        <w:pBdr>
          <w:top w:val="single" w:sz="4" w:space="1" w:color="auto"/>
          <w:left w:val="single" w:sz="4" w:space="4" w:color="auto"/>
          <w:bottom w:val="single" w:sz="4" w:space="1" w:color="auto"/>
          <w:right w:val="single" w:sz="4" w:space="4" w:color="auto"/>
        </w:pBdr>
        <w:spacing w:after="120"/>
        <w:jc w:val="both"/>
        <w:rPr>
          <w:rFonts w:asciiTheme="majorHAnsi" w:hAnsiTheme="majorHAnsi"/>
          <w:sz w:val="24"/>
          <w:szCs w:val="24"/>
          <w:lang w:val="bg-BG"/>
        </w:rPr>
      </w:pPr>
      <w:r w:rsidRPr="00475D2B">
        <w:rPr>
          <w:rFonts w:asciiTheme="majorHAnsi" w:hAnsiTheme="majorHAnsi"/>
          <w:sz w:val="24"/>
          <w:szCs w:val="24"/>
          <w:lang w:val="bg-BG"/>
        </w:rPr>
        <w:t>В процеса на изпълнение на сключените договори за безвъзмездна финансова помощ, Управляващият орган ще осъществява предварителен контрол за спазване на правилата за избор на изпълнители от страна на бенефициента съгласно приложимото законодателство единствено в случаите, в които бенефициентът изрично е изявил желание за това.</w:t>
      </w:r>
    </w:p>
    <w:p w:rsidR="005E640A" w:rsidRPr="00475D2B" w:rsidRDefault="005E640A" w:rsidP="005E640A">
      <w:pPr>
        <w:pBdr>
          <w:top w:val="single" w:sz="4" w:space="1" w:color="auto"/>
          <w:left w:val="single" w:sz="4" w:space="4" w:color="auto"/>
          <w:bottom w:val="single" w:sz="4" w:space="1" w:color="auto"/>
          <w:right w:val="single" w:sz="4" w:space="4" w:color="auto"/>
        </w:pBdr>
        <w:spacing w:after="120"/>
        <w:jc w:val="both"/>
        <w:rPr>
          <w:rFonts w:asciiTheme="majorHAnsi" w:hAnsiTheme="majorHAnsi"/>
          <w:iCs/>
          <w:sz w:val="24"/>
          <w:szCs w:val="24"/>
          <w:lang w:val="bg-BG"/>
        </w:rPr>
      </w:pPr>
      <w:r w:rsidRPr="00475D2B">
        <w:rPr>
          <w:rFonts w:asciiTheme="majorHAnsi" w:hAnsiTheme="majorHAnsi"/>
          <w:sz w:val="24"/>
          <w:szCs w:val="24"/>
          <w:lang w:val="bg-BG"/>
        </w:rPr>
        <w:t xml:space="preserve">При подготовката на проектните предложения кандидатите следва да съобразят необходимостта от прилагане на процедури за избор на изпълнител </w:t>
      </w:r>
      <w:r w:rsidRPr="00475D2B">
        <w:rPr>
          <w:rFonts w:asciiTheme="majorHAnsi" w:hAnsiTheme="majorHAnsi"/>
          <w:iCs/>
          <w:sz w:val="24"/>
          <w:szCs w:val="24"/>
          <w:lang w:val="bg-BG"/>
        </w:rPr>
        <w:t>и съответно да посочат това като част от предвидените за изпълнение дейности</w:t>
      </w:r>
      <w:r w:rsidRPr="00475D2B">
        <w:rPr>
          <w:rFonts w:asciiTheme="majorHAnsi" w:hAnsiTheme="majorHAnsi"/>
          <w:sz w:val="24"/>
          <w:szCs w:val="24"/>
          <w:lang w:val="bg-BG"/>
        </w:rPr>
        <w:t xml:space="preserve"> </w:t>
      </w:r>
      <w:r w:rsidRPr="00475D2B">
        <w:rPr>
          <w:rFonts w:asciiTheme="majorHAnsi" w:hAnsiTheme="majorHAnsi"/>
          <w:iCs/>
          <w:sz w:val="24"/>
          <w:szCs w:val="24"/>
          <w:lang w:val="bg-BG"/>
        </w:rPr>
        <w:t xml:space="preserve">и да го отразят във времевия график за изпълнение на проекта във Формуляра за кандидатстване. </w:t>
      </w:r>
    </w:p>
    <w:p w:rsidR="005E640A" w:rsidRPr="00475D2B" w:rsidRDefault="005E640A" w:rsidP="005E640A">
      <w:pPr>
        <w:pBdr>
          <w:top w:val="single" w:sz="4" w:space="1" w:color="auto"/>
          <w:left w:val="single" w:sz="4" w:space="4" w:color="auto"/>
          <w:bottom w:val="single" w:sz="4" w:space="1" w:color="auto"/>
          <w:right w:val="single" w:sz="4" w:space="4" w:color="auto"/>
        </w:pBdr>
        <w:spacing w:after="120"/>
        <w:jc w:val="both"/>
        <w:rPr>
          <w:rFonts w:asciiTheme="majorHAnsi" w:hAnsiTheme="majorHAnsi"/>
          <w:iCs/>
          <w:sz w:val="24"/>
          <w:szCs w:val="24"/>
          <w:lang w:val="bg-BG"/>
        </w:rPr>
      </w:pPr>
      <w:r w:rsidRPr="00475D2B">
        <w:rPr>
          <w:rFonts w:asciiTheme="majorHAnsi" w:hAnsiTheme="majorHAnsi"/>
          <w:iCs/>
          <w:sz w:val="24"/>
          <w:szCs w:val="24"/>
          <w:lang w:val="bg-BG"/>
        </w:rPr>
        <w:t>При провеждане на процедурата/ите за избора на изпълнител/и, бенефициентът следва да спазва принципа на свободна и лоялна конкуренция и да прилага подходящи мерки за избягване предотвратяването, ограничаването или нарушаването на конкуренцията.</w:t>
      </w:r>
    </w:p>
    <w:p w:rsidR="005E640A" w:rsidRPr="00475D2B" w:rsidRDefault="005E640A" w:rsidP="005E640A">
      <w:pPr>
        <w:pBdr>
          <w:top w:val="single" w:sz="4" w:space="1" w:color="auto"/>
          <w:left w:val="single" w:sz="4" w:space="4" w:color="auto"/>
          <w:bottom w:val="single" w:sz="4" w:space="1" w:color="auto"/>
          <w:right w:val="single" w:sz="4" w:space="4" w:color="auto"/>
        </w:pBdr>
        <w:spacing w:after="120"/>
        <w:jc w:val="both"/>
        <w:rPr>
          <w:rFonts w:asciiTheme="majorHAnsi" w:hAnsiTheme="majorHAnsi"/>
          <w:sz w:val="24"/>
          <w:szCs w:val="24"/>
          <w:lang w:val="bg-BG"/>
        </w:rPr>
      </w:pPr>
      <w:r w:rsidRPr="00475D2B">
        <w:rPr>
          <w:rFonts w:asciiTheme="majorHAnsi" w:hAnsiTheme="majorHAnsi"/>
          <w:sz w:val="24"/>
          <w:szCs w:val="24"/>
          <w:lang w:val="bg-BG"/>
        </w:rPr>
        <w:t xml:space="preserve">По настоящата процедура за безвъзмездна помощ </w:t>
      </w:r>
      <w:r w:rsidRPr="00475D2B">
        <w:rPr>
          <w:rFonts w:asciiTheme="majorHAnsi" w:hAnsiTheme="majorHAnsi"/>
          <w:b/>
          <w:sz w:val="24"/>
          <w:szCs w:val="24"/>
          <w:lang w:val="bg-BG"/>
        </w:rPr>
        <w:t>няма</w:t>
      </w:r>
      <w:r w:rsidRPr="00475D2B">
        <w:rPr>
          <w:rFonts w:asciiTheme="majorHAnsi" w:hAnsiTheme="majorHAnsi"/>
          <w:sz w:val="24"/>
          <w:szCs w:val="24"/>
          <w:lang w:val="bg-BG"/>
        </w:rPr>
        <w:t xml:space="preserve"> ограничения относно произхода на придобиваните активи. </w:t>
      </w:r>
    </w:p>
    <w:p w:rsidR="005E640A" w:rsidRPr="00475D2B" w:rsidRDefault="005E640A" w:rsidP="005E640A">
      <w:pPr>
        <w:pStyle w:val="ae"/>
        <w:pBdr>
          <w:top w:val="single" w:sz="4" w:space="1" w:color="auto"/>
          <w:left w:val="single" w:sz="4" w:space="4" w:color="auto"/>
          <w:bottom w:val="single" w:sz="4" w:space="1" w:color="auto"/>
          <w:right w:val="single" w:sz="4" w:space="4" w:color="auto"/>
        </w:pBdr>
        <w:spacing w:after="120"/>
        <w:ind w:left="0"/>
        <w:contextualSpacing w:val="0"/>
        <w:jc w:val="both"/>
        <w:rPr>
          <w:rFonts w:asciiTheme="majorHAnsi" w:hAnsiTheme="majorHAnsi"/>
          <w:sz w:val="24"/>
          <w:szCs w:val="24"/>
          <w:lang w:val="bg-BG"/>
        </w:rPr>
      </w:pPr>
      <w:r w:rsidRPr="00475D2B">
        <w:rPr>
          <w:rFonts w:asciiTheme="majorHAnsi" w:hAnsiTheme="majorHAnsi"/>
          <w:sz w:val="24"/>
          <w:szCs w:val="24"/>
          <w:lang w:val="bg-BG"/>
        </w:rPr>
        <w:lastRenderedPageBreak/>
        <w:t>Правата и задълженията, които възникват за бенефициента, са описани в приложения образец на Административен договор за безвъзмездна финансова помощ по Оперативна програма „Иновации и конкурентоспособност” 2014-2020 (Приложение М) и Общите условия към финансираните по Оперативна програма „Иновации и конкурентоспособност” 2014-2020 договори за безвъзмездна финансова помощ (Приложение Н). В процеса на изпълнение на проектите, бенефициентите следва да се придържат към правилата и процедурите, описани в Ръководството за изпълнение на ДБФП по Оперативна програма "Иновации и конкурентоспособност" 2014-2020.</w:t>
      </w:r>
    </w:p>
    <w:p w:rsidR="005E640A" w:rsidRPr="00475D2B" w:rsidRDefault="005E640A" w:rsidP="005E640A">
      <w:pPr>
        <w:pBdr>
          <w:top w:val="single" w:sz="4" w:space="1" w:color="auto"/>
          <w:left w:val="single" w:sz="4" w:space="4" w:color="auto"/>
          <w:bottom w:val="single" w:sz="4" w:space="1" w:color="auto"/>
          <w:right w:val="single" w:sz="4" w:space="4" w:color="auto"/>
        </w:pBdr>
        <w:spacing w:after="120"/>
        <w:jc w:val="both"/>
        <w:rPr>
          <w:rFonts w:asciiTheme="majorHAnsi" w:hAnsiTheme="majorHAnsi"/>
          <w:sz w:val="24"/>
          <w:szCs w:val="24"/>
          <w:lang w:val="bg-BG"/>
        </w:rPr>
      </w:pPr>
      <w:r w:rsidRPr="00475D2B">
        <w:rPr>
          <w:rFonts w:asciiTheme="majorHAnsi" w:hAnsiTheme="majorHAnsi"/>
          <w:sz w:val="24"/>
          <w:szCs w:val="24"/>
          <w:lang w:val="bg-BG"/>
        </w:rPr>
        <w:t>Всеки бенефициент може да подаде сигнал за нередност при условията и по реда на Наредбата за администриране на нередности по Европейските структурни и инвестиционни фондове (приета с ПМС № 173/13.07.2016 г., обн. ДВ, бр. 57 от 2016г.) и съобразно подписаната от него Декларация за нередности (Приложение М).</w:t>
      </w:r>
    </w:p>
    <w:p w:rsidR="005E640A" w:rsidRPr="00475D2B" w:rsidRDefault="005E640A" w:rsidP="005E640A">
      <w:pPr>
        <w:pStyle w:val="ae"/>
        <w:pBdr>
          <w:top w:val="single" w:sz="4" w:space="1" w:color="auto"/>
          <w:left w:val="single" w:sz="4" w:space="4" w:color="auto"/>
          <w:bottom w:val="single" w:sz="4" w:space="1" w:color="auto"/>
          <w:right w:val="single" w:sz="4" w:space="4" w:color="auto"/>
        </w:pBdr>
        <w:spacing w:after="120"/>
        <w:ind w:left="0"/>
        <w:contextualSpacing w:val="0"/>
        <w:jc w:val="both"/>
        <w:rPr>
          <w:rFonts w:asciiTheme="majorHAnsi" w:hAnsiTheme="majorHAnsi"/>
          <w:sz w:val="24"/>
          <w:szCs w:val="24"/>
          <w:lang w:val="bg-BG"/>
        </w:rPr>
      </w:pPr>
      <w:r w:rsidRPr="00475D2B">
        <w:rPr>
          <w:rFonts w:asciiTheme="majorHAnsi" w:hAnsiTheme="majorHAnsi"/>
          <w:sz w:val="24"/>
          <w:szCs w:val="24"/>
          <w:lang w:val="bg-BG"/>
        </w:rPr>
        <w:t xml:space="preserve">Ако бенефициентът не може да изпълни изцяло или частично дейностите, заложени в административния договор, плащанията могат да не се извършат (цялостно или частично) в зависимост от невъзможността за изпълнение на задълженията от страна на бенефициента. </w:t>
      </w:r>
    </w:p>
    <w:p w:rsidR="005E640A" w:rsidRPr="00475D2B" w:rsidRDefault="005E640A" w:rsidP="005E640A">
      <w:pPr>
        <w:pStyle w:val="ae"/>
        <w:pBdr>
          <w:top w:val="single" w:sz="4" w:space="1" w:color="auto"/>
          <w:left w:val="single" w:sz="4" w:space="4" w:color="auto"/>
          <w:bottom w:val="single" w:sz="4" w:space="1" w:color="auto"/>
          <w:right w:val="single" w:sz="4" w:space="4" w:color="auto"/>
        </w:pBdr>
        <w:spacing w:after="120"/>
        <w:ind w:left="0"/>
        <w:contextualSpacing w:val="0"/>
        <w:jc w:val="both"/>
        <w:rPr>
          <w:rFonts w:asciiTheme="majorHAnsi" w:hAnsiTheme="majorHAnsi"/>
          <w:sz w:val="24"/>
          <w:szCs w:val="24"/>
          <w:lang w:val="bg-BG"/>
        </w:rPr>
      </w:pPr>
      <w:r w:rsidRPr="00475D2B">
        <w:rPr>
          <w:rFonts w:asciiTheme="majorHAnsi" w:hAnsiTheme="majorHAnsi"/>
          <w:sz w:val="24"/>
          <w:szCs w:val="24"/>
          <w:lang w:val="bg-BG"/>
        </w:rPr>
        <w:t xml:space="preserve">Изменение на административния договор за безвъзмездна финансова помощ се извършва чрез сключване на Анекс (допълнително споразумение) към административния договор съгласно чл. 39 от ЗУСЕСИФ. Анексът към административния договор не може да нарушава конкурентните условия, съществуващи към момента на сключване на административния договор и равното третиране на бенефициентите. </w:t>
      </w:r>
    </w:p>
    <w:p w:rsidR="005E640A" w:rsidRPr="00475D2B" w:rsidRDefault="005E640A" w:rsidP="005E640A">
      <w:pPr>
        <w:pStyle w:val="ae"/>
        <w:pBdr>
          <w:top w:val="single" w:sz="4" w:space="1" w:color="auto"/>
          <w:left w:val="single" w:sz="4" w:space="4" w:color="auto"/>
          <w:bottom w:val="single" w:sz="4" w:space="1" w:color="auto"/>
          <w:right w:val="single" w:sz="4" w:space="4" w:color="auto"/>
        </w:pBdr>
        <w:spacing w:after="120"/>
        <w:ind w:left="0"/>
        <w:contextualSpacing w:val="0"/>
        <w:jc w:val="both"/>
        <w:rPr>
          <w:rFonts w:asciiTheme="majorHAnsi" w:hAnsiTheme="majorHAnsi"/>
          <w:sz w:val="24"/>
          <w:szCs w:val="24"/>
          <w:lang w:val="bg-BG"/>
        </w:rPr>
      </w:pPr>
      <w:r w:rsidRPr="00475D2B">
        <w:rPr>
          <w:rFonts w:asciiTheme="majorHAnsi" w:hAnsiTheme="majorHAnsi"/>
          <w:sz w:val="24"/>
          <w:szCs w:val="24"/>
          <w:lang w:val="bg-BG"/>
        </w:rPr>
        <w:t>Съгласно правилата на Регламент 1303/2013, Управляващият орган следва да извършва проверки за удостоверяване на административните, финансовите, техническите и физическите аспекти от изпълнението на проектите. Проверките могат да бъдат както административни – проверка на документи, предоставени във връзка с възстановяване на разходи, така и проверки на място за изпълнение на дейностите, заложени по проекта. Проверките от страна на Управляващия орган се извършват на всички проекти и/или на проекти, определени на база извадка.  Бенефициентът е задължен да осигури директен достъп (както по време на изпълнението на проекта, така и след неговото приключване) на представители на Управляващия орган и/или други одитиращи институции с цел извършването на проверка на място на резултатите от изпълнението на проекта.</w:t>
      </w:r>
    </w:p>
    <w:p w:rsidR="005E640A" w:rsidRPr="00475D2B" w:rsidRDefault="005E640A" w:rsidP="005E640A">
      <w:pPr>
        <w:pStyle w:val="ae"/>
        <w:pBdr>
          <w:top w:val="single" w:sz="4" w:space="1" w:color="auto"/>
          <w:left w:val="single" w:sz="4" w:space="4" w:color="auto"/>
          <w:bottom w:val="single" w:sz="4" w:space="1" w:color="auto"/>
          <w:right w:val="single" w:sz="4" w:space="4" w:color="auto"/>
        </w:pBdr>
        <w:spacing w:after="120"/>
        <w:ind w:left="0"/>
        <w:contextualSpacing w:val="0"/>
        <w:jc w:val="both"/>
        <w:rPr>
          <w:rFonts w:asciiTheme="majorHAnsi" w:hAnsiTheme="majorHAnsi"/>
          <w:sz w:val="24"/>
          <w:szCs w:val="24"/>
          <w:lang w:val="bg-BG"/>
        </w:rPr>
      </w:pPr>
      <w:r w:rsidRPr="00475D2B">
        <w:rPr>
          <w:rFonts w:asciiTheme="majorHAnsi" w:hAnsiTheme="majorHAnsi"/>
          <w:sz w:val="24"/>
          <w:szCs w:val="24"/>
          <w:lang w:val="bg-BG"/>
        </w:rPr>
        <w:t xml:space="preserve">Бенефициентът е задължен да докладва и отчита изпълнението на проекта в съответните отчетни форми и документи, приложени към Ръководството за изпълнение на ДБФП по Оперативна програма "Иновации и конкурентоспособност" 2014-2020. </w:t>
      </w:r>
    </w:p>
    <w:p w:rsidR="005E640A" w:rsidRPr="00475D2B" w:rsidRDefault="005E640A" w:rsidP="005E640A">
      <w:pPr>
        <w:pStyle w:val="ae"/>
        <w:pBdr>
          <w:top w:val="single" w:sz="4" w:space="1" w:color="auto"/>
          <w:left w:val="single" w:sz="4" w:space="4" w:color="auto"/>
          <w:bottom w:val="single" w:sz="4" w:space="1" w:color="auto"/>
          <w:right w:val="single" w:sz="4" w:space="4" w:color="auto"/>
        </w:pBdr>
        <w:spacing w:after="120"/>
        <w:ind w:left="0"/>
        <w:contextualSpacing w:val="0"/>
        <w:jc w:val="both"/>
        <w:rPr>
          <w:rFonts w:asciiTheme="majorHAnsi" w:hAnsiTheme="majorHAnsi"/>
          <w:sz w:val="24"/>
          <w:szCs w:val="24"/>
          <w:lang w:val="bg-BG"/>
        </w:rPr>
      </w:pPr>
      <w:r w:rsidRPr="00475D2B">
        <w:rPr>
          <w:rFonts w:asciiTheme="majorHAnsi" w:hAnsiTheme="majorHAnsi"/>
          <w:sz w:val="24"/>
          <w:szCs w:val="24"/>
          <w:lang w:val="bg-BG"/>
        </w:rPr>
        <w:t xml:space="preserve">Бенефициентът трябва да води точна и редовна документация и счетоводни отчети, отразяващи изпълнението на проекта, използвайки подходяща система за документооборот и счетоводно отчитане. С всяко искане за междинно плащане, в хода на изпълнение на договора, бенефициентът  е задължен да изготви и представи на Управляващия орган междинен технически и финансов отчети, които да съдържат необходимите приложения с пълна информация за всички аспекти на изпълнението за отчетния период. След приключването на дейностите по договора за безвъзмездна финансова помощ, бенефициентът е длъжен да изготви и представи на Управляващия орган финален технически и финансов отчети, съдържащи информация относно цялостното изпълнение на дейностите и постигнатите резултати. Отчетите се </w:t>
      </w:r>
      <w:r w:rsidRPr="00475D2B">
        <w:rPr>
          <w:rFonts w:asciiTheme="majorHAnsi" w:hAnsiTheme="majorHAnsi"/>
          <w:sz w:val="24"/>
          <w:szCs w:val="24"/>
          <w:lang w:val="bg-BG"/>
        </w:rPr>
        <w:lastRenderedPageBreak/>
        <w:t xml:space="preserve">изготвят съгласно образците, приложени към Ръководството за изпълнение на ДБФП по Оперативна програма "Иновации и конкурентоспособност" 2014-2020. Тези отчети трябва да посочват и постигането на резултатите и целите на проекта чрез предварително зададените индикатори, както и да показват реалното изпълнение на заложените очаквани резултати. Отчетите следва да отразяват и съответствието на дейностите с хоризонталните политики на ЕС, да описват основните проблеми, възникнали по време на изпълнението на проекта, както и как тези проблеми са били решени или причините за това да не бъдат преодолени. </w:t>
      </w:r>
    </w:p>
    <w:p w:rsidR="005E640A" w:rsidRPr="00475D2B" w:rsidRDefault="005E640A" w:rsidP="005E640A">
      <w:pPr>
        <w:pStyle w:val="ae"/>
        <w:pBdr>
          <w:top w:val="single" w:sz="4" w:space="1" w:color="auto"/>
          <w:left w:val="single" w:sz="4" w:space="4" w:color="auto"/>
          <w:bottom w:val="single" w:sz="4" w:space="1" w:color="auto"/>
          <w:right w:val="single" w:sz="4" w:space="4" w:color="auto"/>
        </w:pBdr>
        <w:spacing w:after="120"/>
        <w:ind w:left="0"/>
        <w:contextualSpacing w:val="0"/>
        <w:jc w:val="both"/>
        <w:rPr>
          <w:rFonts w:asciiTheme="majorHAnsi" w:hAnsiTheme="majorHAnsi"/>
          <w:sz w:val="24"/>
          <w:szCs w:val="24"/>
          <w:lang w:val="bg-BG"/>
        </w:rPr>
      </w:pPr>
      <w:r w:rsidRPr="00475D2B">
        <w:rPr>
          <w:rFonts w:asciiTheme="majorHAnsi" w:hAnsiTheme="majorHAnsi"/>
          <w:sz w:val="24"/>
          <w:szCs w:val="24"/>
          <w:lang w:val="bg-BG"/>
        </w:rPr>
        <w:t>Допълнително, в хода на изпълнение на проекта, Ръководителят на Управляващия орган може да изиска от бенефициента  да предостави доклади и/или допълнителна информация относно напредъка, постигнат по проекта.</w:t>
      </w:r>
    </w:p>
    <w:p w:rsidR="005E640A" w:rsidRPr="00475D2B" w:rsidRDefault="005E640A" w:rsidP="005E640A">
      <w:pPr>
        <w:pStyle w:val="ae"/>
        <w:pBdr>
          <w:top w:val="single" w:sz="4" w:space="1" w:color="auto"/>
          <w:left w:val="single" w:sz="4" w:space="4" w:color="auto"/>
          <w:bottom w:val="single" w:sz="4" w:space="1" w:color="auto"/>
          <w:right w:val="single" w:sz="4" w:space="4" w:color="auto"/>
        </w:pBdr>
        <w:spacing w:after="120"/>
        <w:ind w:left="0"/>
        <w:contextualSpacing w:val="0"/>
        <w:jc w:val="both"/>
        <w:rPr>
          <w:rFonts w:asciiTheme="majorHAnsi" w:hAnsiTheme="majorHAnsi"/>
          <w:sz w:val="24"/>
          <w:szCs w:val="24"/>
          <w:lang w:val="bg-BG"/>
        </w:rPr>
      </w:pPr>
      <w:r w:rsidRPr="00475D2B">
        <w:rPr>
          <w:rFonts w:asciiTheme="majorHAnsi" w:hAnsiTheme="majorHAnsi"/>
          <w:sz w:val="24"/>
          <w:szCs w:val="24"/>
          <w:lang w:val="bg-BG"/>
        </w:rPr>
        <w:t xml:space="preserve">Съгласно чл. 6, пар. 4 от Регламент 1407/2013 всички документи, които са необходими, за да се установи спазването на всички условия, определени в същия регламент, следва да се съхраняват за срок от 10 години от датата на предоставяне на последната помощ по схемата. </w:t>
      </w:r>
    </w:p>
    <w:p w:rsidR="005E640A" w:rsidRPr="00475D2B" w:rsidRDefault="005E640A" w:rsidP="005E640A">
      <w:pPr>
        <w:pStyle w:val="ae"/>
        <w:pBdr>
          <w:top w:val="single" w:sz="4" w:space="1" w:color="auto"/>
          <w:left w:val="single" w:sz="4" w:space="4" w:color="auto"/>
          <w:bottom w:val="single" w:sz="4" w:space="1" w:color="auto"/>
          <w:right w:val="single" w:sz="4" w:space="4" w:color="auto"/>
        </w:pBdr>
        <w:spacing w:after="120"/>
        <w:ind w:left="0"/>
        <w:contextualSpacing w:val="0"/>
        <w:jc w:val="both"/>
        <w:rPr>
          <w:rFonts w:asciiTheme="majorHAnsi" w:hAnsiTheme="majorHAnsi"/>
          <w:b/>
          <w:sz w:val="24"/>
          <w:szCs w:val="24"/>
          <w:lang w:val="bg-BG"/>
        </w:rPr>
      </w:pPr>
      <w:r w:rsidRPr="00475D2B">
        <w:rPr>
          <w:rFonts w:asciiTheme="majorHAnsi" w:hAnsiTheme="majorHAnsi"/>
          <w:sz w:val="24"/>
          <w:szCs w:val="24"/>
          <w:lang w:val="bg-BG"/>
        </w:rPr>
        <w:t>За целите на настоящата процедура за дата на предоставяне на помощта по смисъла на чл. 3, пар. 4 от Регламент 1407/2013 се счита датата на сключване на договора за безвъзмездна финансова помощ.</w:t>
      </w:r>
    </w:p>
    <w:p w:rsidR="005E640A" w:rsidRPr="00475D2B" w:rsidRDefault="005E640A" w:rsidP="005E640A">
      <w:pPr>
        <w:pStyle w:val="3"/>
        <w:spacing w:before="120" w:after="120"/>
        <w:rPr>
          <w:rFonts w:asciiTheme="majorHAnsi" w:hAnsiTheme="majorHAnsi"/>
          <w:sz w:val="24"/>
          <w:szCs w:val="24"/>
          <w:lang w:val="bg-BG"/>
        </w:rPr>
      </w:pPr>
      <w:bookmarkStart w:id="1" w:name="_Toc442348058"/>
    </w:p>
    <w:p w:rsidR="005E640A" w:rsidRPr="00475D2B" w:rsidRDefault="005E640A" w:rsidP="005E640A">
      <w:pPr>
        <w:pStyle w:val="3"/>
        <w:spacing w:before="120" w:after="120"/>
        <w:rPr>
          <w:rFonts w:asciiTheme="majorHAnsi" w:hAnsiTheme="majorHAnsi"/>
          <w:sz w:val="24"/>
          <w:szCs w:val="24"/>
          <w:lang w:val="bg-BG"/>
        </w:rPr>
      </w:pPr>
      <w:r w:rsidRPr="00475D2B">
        <w:rPr>
          <w:rFonts w:asciiTheme="majorHAnsi" w:hAnsiTheme="majorHAnsi"/>
          <w:sz w:val="24"/>
          <w:szCs w:val="24"/>
          <w:lang w:val="bg-BG"/>
        </w:rPr>
        <w:t>2. Финансово изпълнение на проектите и плащане</w:t>
      </w:r>
      <w:bookmarkEnd w:id="1"/>
    </w:p>
    <w:p w:rsidR="005E640A" w:rsidRPr="00475D2B" w:rsidRDefault="005E640A" w:rsidP="005E640A">
      <w:pPr>
        <w:pStyle w:val="ae"/>
        <w:pBdr>
          <w:top w:val="single" w:sz="4" w:space="1" w:color="auto"/>
          <w:left w:val="single" w:sz="4" w:space="4" w:color="auto"/>
          <w:bottom w:val="single" w:sz="4" w:space="1" w:color="auto"/>
          <w:right w:val="single" w:sz="4" w:space="4" w:color="auto"/>
        </w:pBdr>
        <w:spacing w:after="120"/>
        <w:ind w:left="0"/>
        <w:contextualSpacing w:val="0"/>
        <w:jc w:val="both"/>
        <w:rPr>
          <w:rFonts w:asciiTheme="majorHAnsi" w:hAnsiTheme="majorHAnsi"/>
          <w:sz w:val="24"/>
          <w:szCs w:val="24"/>
          <w:lang w:val="bg-BG"/>
        </w:rPr>
      </w:pPr>
      <w:r w:rsidRPr="00475D2B">
        <w:rPr>
          <w:rFonts w:asciiTheme="majorHAnsi" w:hAnsiTheme="majorHAnsi"/>
          <w:sz w:val="24"/>
          <w:szCs w:val="24"/>
          <w:lang w:val="bg-BG"/>
        </w:rPr>
        <w:t>Всички допустими разходи (надлежно доказани със съответната фактура или друг счетоводен документ с еквивалентна доказателствена стойност), могат да бъдат представени за плащане само веднъж – т.е. разходите, за които е поискана безвъзмездна финансова помощ, не могат да бъдат предоставяни за плащане към други източници.</w:t>
      </w:r>
    </w:p>
    <w:p w:rsidR="005E640A" w:rsidRPr="00475D2B" w:rsidRDefault="005E640A" w:rsidP="005E640A">
      <w:pPr>
        <w:pBdr>
          <w:top w:val="single" w:sz="4" w:space="1" w:color="auto"/>
          <w:left w:val="single" w:sz="4" w:space="4" w:color="auto"/>
          <w:bottom w:val="single" w:sz="4" w:space="1" w:color="auto"/>
          <w:right w:val="single" w:sz="4" w:space="4" w:color="auto"/>
        </w:pBdr>
        <w:spacing w:after="120"/>
        <w:jc w:val="both"/>
        <w:rPr>
          <w:rFonts w:asciiTheme="majorHAnsi" w:hAnsiTheme="majorHAnsi"/>
          <w:sz w:val="24"/>
          <w:szCs w:val="24"/>
          <w:lang w:val="bg-BG"/>
        </w:rPr>
      </w:pPr>
      <w:r w:rsidRPr="00475D2B">
        <w:rPr>
          <w:rFonts w:asciiTheme="majorHAnsi" w:hAnsiTheme="majorHAnsi"/>
          <w:sz w:val="24"/>
          <w:szCs w:val="24"/>
          <w:lang w:val="bg-BG"/>
        </w:rPr>
        <w:t xml:space="preserve">Бенефициентът е задължен да поддържа отделни счетоводни аналитични сметки или отделна счетоводна система за допустимите разходи по проекта и използването на средствата от безвъзмездната финансова помощ, съгласно изискванията на чл. 57, ал. 1, т.5 от ЗУСЕСИФ. </w:t>
      </w:r>
    </w:p>
    <w:p w:rsidR="005E640A" w:rsidRPr="00475D2B" w:rsidRDefault="005E640A" w:rsidP="005E640A">
      <w:pPr>
        <w:pStyle w:val="ae"/>
        <w:pBdr>
          <w:top w:val="single" w:sz="4" w:space="1" w:color="auto"/>
          <w:left w:val="single" w:sz="4" w:space="4" w:color="auto"/>
          <w:bottom w:val="single" w:sz="4" w:space="1" w:color="auto"/>
          <w:right w:val="single" w:sz="4" w:space="4" w:color="auto"/>
        </w:pBdr>
        <w:spacing w:after="120"/>
        <w:ind w:left="0"/>
        <w:contextualSpacing w:val="0"/>
        <w:jc w:val="both"/>
        <w:rPr>
          <w:rFonts w:asciiTheme="majorHAnsi" w:hAnsiTheme="majorHAnsi"/>
          <w:sz w:val="24"/>
          <w:szCs w:val="24"/>
          <w:lang w:val="bg-BG"/>
        </w:rPr>
      </w:pPr>
      <w:r w:rsidRPr="00475D2B">
        <w:rPr>
          <w:rFonts w:asciiTheme="majorHAnsi" w:hAnsiTheme="majorHAnsi"/>
          <w:sz w:val="24"/>
          <w:szCs w:val="24"/>
          <w:lang w:val="bg-BG"/>
        </w:rPr>
        <w:t>При изпълнение на административните договори за безвъзмездна финансова помощ, бенефициентите са отговорни за администриране на процеса на определяне на данък върху добавената стойност като допустим разход. Във връзка с понятието „възстановим данък добавена стойност” и определянето му като недопустим разход за съфинансиране от оперативните програми, се прилагат правилата на приложимото национално законодателство. При оформяне на исканията за плащане, за документалната отчетност, както и за всички други свои задължения във връзка с получаване на средства по настоящата процедура, бенефициентите  са длъжни да следват и действащите нормативни актове към момента на изпълнение на договорите за определянето на ДДС като „възстановим” и следователно недопустим разход  или като „невъзстановим” и следователно допустим разход по ОПИК и настоящата процедура.</w:t>
      </w:r>
    </w:p>
    <w:p w:rsidR="005E640A" w:rsidRPr="00475D2B" w:rsidRDefault="005E640A" w:rsidP="005E640A">
      <w:pPr>
        <w:pStyle w:val="ae"/>
        <w:pBdr>
          <w:top w:val="single" w:sz="4" w:space="1" w:color="auto"/>
          <w:left w:val="single" w:sz="4" w:space="4" w:color="auto"/>
          <w:bottom w:val="single" w:sz="4" w:space="1" w:color="auto"/>
          <w:right w:val="single" w:sz="4" w:space="4" w:color="auto"/>
        </w:pBdr>
        <w:spacing w:after="120"/>
        <w:ind w:left="0"/>
        <w:contextualSpacing w:val="0"/>
        <w:jc w:val="both"/>
        <w:rPr>
          <w:rFonts w:asciiTheme="majorHAnsi" w:hAnsiTheme="majorHAnsi"/>
          <w:sz w:val="24"/>
          <w:szCs w:val="24"/>
          <w:lang w:val="bg-BG"/>
        </w:rPr>
      </w:pPr>
      <w:r w:rsidRPr="00475D2B">
        <w:rPr>
          <w:rFonts w:asciiTheme="majorHAnsi" w:hAnsiTheme="majorHAnsi"/>
          <w:sz w:val="24"/>
          <w:szCs w:val="24"/>
          <w:lang w:val="bg-BG"/>
        </w:rPr>
        <w:t xml:space="preserve">Максималният размер на безвъзмездната финансова помощ задължително се фиксира в административния договор за безвъзмездна финансова помощ. Фиксираният в административния договор размер на безвъзмездната финансова помощ се основава на бюджета, който е предварителна оценка на размера на допустимите разходи, необходими за изпълнението на проекта. Фиксираният в административния договор </w:t>
      </w:r>
      <w:r w:rsidRPr="00475D2B">
        <w:rPr>
          <w:rFonts w:asciiTheme="majorHAnsi" w:hAnsiTheme="majorHAnsi"/>
          <w:sz w:val="24"/>
          <w:szCs w:val="24"/>
          <w:lang w:val="bg-BG"/>
        </w:rPr>
        <w:lastRenderedPageBreak/>
        <w:t>размер на безвъзмездната финансова помощ е окончателен, но действителният размер на подлежащата на изплащане помощ се определя след приключване на всички допустими дейности по проекта и зависи от тяхното надлежно удостоверяване и одобряване на действително извършените разходи.</w:t>
      </w:r>
    </w:p>
    <w:p w:rsidR="005E640A" w:rsidRPr="00475D2B" w:rsidRDefault="005E640A" w:rsidP="005E640A">
      <w:pPr>
        <w:pStyle w:val="ae"/>
        <w:pBdr>
          <w:top w:val="single" w:sz="4" w:space="1" w:color="auto"/>
          <w:left w:val="single" w:sz="4" w:space="4" w:color="auto"/>
          <w:bottom w:val="single" w:sz="4" w:space="1" w:color="auto"/>
          <w:right w:val="single" w:sz="4" w:space="4" w:color="auto"/>
        </w:pBdr>
        <w:spacing w:after="120"/>
        <w:ind w:left="0"/>
        <w:contextualSpacing w:val="0"/>
        <w:jc w:val="both"/>
        <w:rPr>
          <w:rFonts w:asciiTheme="majorHAnsi" w:hAnsiTheme="majorHAnsi"/>
          <w:sz w:val="24"/>
          <w:szCs w:val="24"/>
          <w:lang w:val="bg-BG"/>
        </w:rPr>
      </w:pPr>
      <w:r w:rsidRPr="00475D2B">
        <w:rPr>
          <w:rFonts w:asciiTheme="majorHAnsi" w:hAnsiTheme="majorHAnsi"/>
          <w:sz w:val="24"/>
          <w:szCs w:val="24"/>
          <w:lang w:val="bg-BG"/>
        </w:rPr>
        <w:t xml:space="preserve">Недопустими са промени в бюджета на административния договор, водещи до увеличаване на първоначално договорения процент и размер на безвъзмездната финансова помощ по административния договор и/или водещи до превишаване на средствата по бюджетни пера, за които има определен в Условията за кандидатстване максимален размер/процент.  </w:t>
      </w:r>
    </w:p>
    <w:p w:rsidR="005E640A" w:rsidRPr="00475D2B" w:rsidRDefault="005E640A" w:rsidP="005E640A">
      <w:pPr>
        <w:pStyle w:val="ae"/>
        <w:pBdr>
          <w:top w:val="single" w:sz="4" w:space="1" w:color="auto"/>
          <w:left w:val="single" w:sz="4" w:space="4" w:color="auto"/>
          <w:bottom w:val="single" w:sz="4" w:space="1" w:color="auto"/>
          <w:right w:val="single" w:sz="4" w:space="4" w:color="auto"/>
        </w:pBdr>
        <w:spacing w:after="120"/>
        <w:ind w:left="0"/>
        <w:contextualSpacing w:val="0"/>
        <w:jc w:val="both"/>
        <w:rPr>
          <w:rFonts w:asciiTheme="majorHAnsi" w:hAnsiTheme="majorHAnsi"/>
          <w:sz w:val="24"/>
          <w:szCs w:val="24"/>
          <w:lang w:val="bg-BG"/>
        </w:rPr>
      </w:pPr>
      <w:r w:rsidRPr="00475D2B">
        <w:rPr>
          <w:rFonts w:asciiTheme="majorHAnsi" w:hAnsiTheme="majorHAnsi"/>
          <w:sz w:val="24"/>
          <w:szCs w:val="24"/>
          <w:lang w:val="bg-BG"/>
        </w:rPr>
        <w:t>По настоящата процедура за предоставяне на безвъзмездна финансова помощ се предвиждат 3 варианта на плащане, както следва:</w:t>
      </w:r>
    </w:p>
    <w:p w:rsidR="005E640A" w:rsidRPr="00475D2B" w:rsidRDefault="005E640A" w:rsidP="005E640A">
      <w:pPr>
        <w:pStyle w:val="ae"/>
        <w:pBdr>
          <w:top w:val="single" w:sz="4" w:space="1" w:color="auto"/>
          <w:left w:val="single" w:sz="4" w:space="4" w:color="auto"/>
          <w:bottom w:val="single" w:sz="4" w:space="1" w:color="auto"/>
          <w:right w:val="single" w:sz="4" w:space="4" w:color="auto"/>
        </w:pBdr>
        <w:spacing w:after="480"/>
        <w:ind w:left="0"/>
        <w:jc w:val="both"/>
        <w:rPr>
          <w:rFonts w:asciiTheme="majorHAnsi" w:hAnsiTheme="majorHAnsi"/>
          <w:sz w:val="24"/>
          <w:szCs w:val="24"/>
          <w:lang w:val="bg-BG"/>
        </w:rPr>
      </w:pPr>
      <w:r w:rsidRPr="00475D2B">
        <w:rPr>
          <w:rFonts w:asciiTheme="majorHAnsi" w:hAnsiTheme="majorHAnsi"/>
          <w:b/>
          <w:sz w:val="24"/>
          <w:szCs w:val="24"/>
          <w:lang w:val="bg-BG"/>
        </w:rPr>
        <w:t>Вариант 1</w:t>
      </w:r>
      <w:r w:rsidRPr="00475D2B">
        <w:rPr>
          <w:rFonts w:asciiTheme="majorHAnsi" w:hAnsiTheme="majorHAnsi"/>
          <w:sz w:val="24"/>
          <w:szCs w:val="24"/>
          <w:lang w:val="bg-BG"/>
        </w:rPr>
        <w:t xml:space="preserve"> (с авансово плащане, междинни и окончателно плащане): </w:t>
      </w:r>
    </w:p>
    <w:p w:rsidR="005E640A" w:rsidRPr="00475D2B" w:rsidRDefault="005E640A" w:rsidP="005E640A">
      <w:pPr>
        <w:pStyle w:val="ae"/>
        <w:pBdr>
          <w:top w:val="single" w:sz="4" w:space="1" w:color="auto"/>
          <w:left w:val="single" w:sz="4" w:space="4" w:color="auto"/>
          <w:bottom w:val="single" w:sz="4" w:space="1" w:color="auto"/>
          <w:right w:val="single" w:sz="4" w:space="4" w:color="auto"/>
        </w:pBdr>
        <w:spacing w:after="480"/>
        <w:ind w:left="0"/>
        <w:jc w:val="both"/>
        <w:rPr>
          <w:rFonts w:asciiTheme="majorHAnsi" w:hAnsiTheme="majorHAnsi"/>
          <w:sz w:val="24"/>
          <w:szCs w:val="24"/>
          <w:lang w:val="bg-BG"/>
        </w:rPr>
      </w:pPr>
    </w:p>
    <w:p w:rsidR="005E640A" w:rsidRPr="00475D2B" w:rsidRDefault="005E640A" w:rsidP="005E640A">
      <w:pPr>
        <w:pStyle w:val="ae"/>
        <w:pBdr>
          <w:top w:val="single" w:sz="4" w:space="1" w:color="auto"/>
          <w:left w:val="single" w:sz="4" w:space="4" w:color="auto"/>
          <w:bottom w:val="single" w:sz="4" w:space="1" w:color="auto"/>
          <w:right w:val="single" w:sz="4" w:space="4" w:color="auto"/>
        </w:pBdr>
        <w:spacing w:after="120"/>
        <w:ind w:left="0"/>
        <w:contextualSpacing w:val="0"/>
        <w:jc w:val="both"/>
        <w:rPr>
          <w:rFonts w:asciiTheme="majorHAnsi" w:hAnsiTheme="majorHAnsi"/>
          <w:sz w:val="24"/>
          <w:szCs w:val="24"/>
          <w:lang w:val="bg-BG"/>
        </w:rPr>
      </w:pPr>
      <w:r w:rsidRPr="00475D2B">
        <w:rPr>
          <w:rFonts w:asciiTheme="majorHAnsi" w:hAnsiTheme="majorHAnsi"/>
          <w:sz w:val="24"/>
          <w:szCs w:val="24"/>
          <w:lang w:val="bg-BG"/>
        </w:rPr>
        <w:t xml:space="preserve">Бенефициентите по настоящата процедура имат право да получат авансово плащане като представят искане за плащане в ИСУН 2020 по административен договор за безвъзмездна финансова помощ. Авансовото плащане може да бъде в размер до 40% от общия размер на безвъзмездната финансова помощ. Условие за неговото извършване е предоставянето от страна на бенефициента на Банкова гаранция (Приложение Н), покриваща пълния размер на исканата авансова сума, Финансова идентификационна форма (съгласно образеца, приложен към Ръководството за изпълнение на ДБФП по Оперативна програма "Иновации и конкурентоспособност" 2014-2020) и декларация за банкова сметка (с цел удостоверяване на задължението на бенефициента да използва сумата по авансовото плащане единствено за целите на проекта).  </w:t>
      </w:r>
    </w:p>
    <w:p w:rsidR="005E640A" w:rsidRPr="00475D2B" w:rsidRDefault="005E640A" w:rsidP="005E640A">
      <w:pPr>
        <w:pStyle w:val="ae"/>
        <w:pBdr>
          <w:top w:val="single" w:sz="4" w:space="1" w:color="auto"/>
          <w:left w:val="single" w:sz="4" w:space="4" w:color="auto"/>
          <w:bottom w:val="single" w:sz="4" w:space="1" w:color="auto"/>
          <w:right w:val="single" w:sz="4" w:space="4" w:color="auto"/>
        </w:pBdr>
        <w:spacing w:after="120"/>
        <w:ind w:left="0"/>
        <w:contextualSpacing w:val="0"/>
        <w:jc w:val="both"/>
        <w:rPr>
          <w:rFonts w:asciiTheme="majorHAnsi" w:hAnsiTheme="majorHAnsi"/>
          <w:sz w:val="24"/>
          <w:szCs w:val="24"/>
          <w:lang w:val="bg-BG"/>
        </w:rPr>
      </w:pPr>
      <w:r w:rsidRPr="00475D2B">
        <w:rPr>
          <w:rFonts w:asciiTheme="majorHAnsi" w:hAnsiTheme="majorHAnsi"/>
          <w:sz w:val="24"/>
          <w:szCs w:val="24"/>
          <w:lang w:val="bg-BG"/>
        </w:rPr>
        <w:t xml:space="preserve">След представяне на посочените документи Управляващия орган превежда размера на авансовото плащане по банкова сметка на бенефициента , открита за целите на получаване и разходване на сумата на авансовото плащане. Бенефициентът ) може да използва средствата по тази сметка съгласно условията, определени в договора за откриването ѝ. </w:t>
      </w:r>
    </w:p>
    <w:p w:rsidR="005E640A" w:rsidRPr="00475D2B" w:rsidRDefault="005E640A" w:rsidP="005E640A">
      <w:pPr>
        <w:pBdr>
          <w:top w:val="single" w:sz="4" w:space="1" w:color="auto"/>
          <w:left w:val="single" w:sz="4" w:space="4" w:color="auto"/>
          <w:bottom w:val="single" w:sz="4" w:space="1" w:color="auto"/>
          <w:right w:val="single" w:sz="4" w:space="4" w:color="auto"/>
        </w:pBdr>
        <w:spacing w:after="120"/>
        <w:jc w:val="both"/>
        <w:rPr>
          <w:rFonts w:asciiTheme="majorHAnsi" w:hAnsiTheme="majorHAnsi"/>
          <w:sz w:val="24"/>
          <w:szCs w:val="24"/>
          <w:lang w:val="bg-BG"/>
        </w:rPr>
      </w:pPr>
      <w:r w:rsidRPr="00475D2B">
        <w:rPr>
          <w:rFonts w:asciiTheme="majorHAnsi" w:hAnsiTheme="majorHAnsi"/>
          <w:sz w:val="24"/>
          <w:szCs w:val="24"/>
          <w:lang w:val="bg-BG"/>
        </w:rPr>
        <w:t>Авансовото плащане се извършва в срок от 20 /двадесет/ календарни дни от датата на постъпване на искането за плащане в Управляващия орган, при условията и реда на чл. 61 от ЗУСЕСИФ.</w:t>
      </w:r>
    </w:p>
    <w:p w:rsidR="00475D2B" w:rsidRPr="00475D2B" w:rsidRDefault="005E640A" w:rsidP="005E640A">
      <w:pPr>
        <w:pStyle w:val="ae"/>
        <w:pBdr>
          <w:top w:val="single" w:sz="4" w:space="1" w:color="auto"/>
          <w:left w:val="single" w:sz="4" w:space="4" w:color="auto"/>
          <w:bottom w:val="single" w:sz="4" w:space="1" w:color="auto"/>
          <w:right w:val="single" w:sz="4" w:space="4" w:color="auto"/>
        </w:pBdr>
        <w:spacing w:after="120"/>
        <w:ind w:left="0"/>
        <w:contextualSpacing w:val="0"/>
        <w:jc w:val="both"/>
        <w:rPr>
          <w:rFonts w:asciiTheme="majorHAnsi" w:hAnsiTheme="majorHAnsi"/>
          <w:sz w:val="24"/>
          <w:szCs w:val="24"/>
          <w:lang w:val="bg-BG"/>
        </w:rPr>
      </w:pPr>
      <w:r w:rsidRPr="00475D2B">
        <w:rPr>
          <w:rFonts w:asciiTheme="majorHAnsi" w:hAnsiTheme="majorHAnsi"/>
          <w:sz w:val="24"/>
          <w:szCs w:val="24"/>
          <w:lang w:val="bg-BG"/>
        </w:rPr>
        <w:t xml:space="preserve">Бенефициентът има право на междинни плащания. Междинни и окончателни плащания се извършват след верифициране с цел потвърждаване допустимостта на извършените разходи и при наличие на физически и финансов напредък на проекта. За да получи исканата сума, бенефициентът  трябва да представи доказателствени документи, които удостоверяват изпълнението на отчитаните дейности/действия и изразходването на средствата. Управляващият орган одобрява дейностите и верифицира разходите въз основа на проверка на документите, представени към искането за плащане и на проверки на място и изплаща на бенефициента тази част от одобрените разходи, съответстваща на процента на безвъзмездна финансова помощ, посочен в административния договор. </w:t>
      </w:r>
    </w:p>
    <w:p w:rsidR="005E640A" w:rsidRPr="00475D2B" w:rsidRDefault="00475D2B" w:rsidP="005E640A">
      <w:pPr>
        <w:pStyle w:val="ae"/>
        <w:pBdr>
          <w:top w:val="single" w:sz="4" w:space="1" w:color="auto"/>
          <w:left w:val="single" w:sz="4" w:space="4" w:color="auto"/>
          <w:bottom w:val="single" w:sz="4" w:space="1" w:color="auto"/>
          <w:right w:val="single" w:sz="4" w:space="4" w:color="auto"/>
        </w:pBdr>
        <w:spacing w:after="120"/>
        <w:ind w:left="0"/>
        <w:contextualSpacing w:val="0"/>
        <w:jc w:val="both"/>
        <w:rPr>
          <w:rFonts w:asciiTheme="majorHAnsi" w:hAnsiTheme="majorHAnsi"/>
          <w:sz w:val="24"/>
          <w:szCs w:val="24"/>
          <w:lang w:val="bg-BG"/>
        </w:rPr>
      </w:pPr>
      <w:r w:rsidRPr="00475D2B">
        <w:rPr>
          <w:rFonts w:asciiTheme="majorHAnsi" w:hAnsiTheme="majorHAnsi"/>
          <w:sz w:val="24"/>
          <w:szCs w:val="24"/>
          <w:lang w:val="bg-BG"/>
        </w:rPr>
        <w:t>При обезпечаване на авансовите плащания с гаранция издадена от банка, общата сума на авансовото и междинните плащания е до 95% от стойността на безвъзмездната финансова помощ. Този праг от 95% не се прилага,когато няма извършено авансово плащане или когато авансът е покрит изцяло с допустими разходи съгласно чл. 131, параграф 2 от Регламент (ЕС) № 1303/2013.</w:t>
      </w:r>
    </w:p>
    <w:p w:rsidR="005E640A" w:rsidRPr="00475D2B" w:rsidRDefault="005E640A" w:rsidP="005E640A">
      <w:pPr>
        <w:pStyle w:val="ae"/>
        <w:pBdr>
          <w:top w:val="single" w:sz="4" w:space="1" w:color="auto"/>
          <w:left w:val="single" w:sz="4" w:space="4" w:color="auto"/>
          <w:bottom w:val="single" w:sz="4" w:space="1" w:color="auto"/>
          <w:right w:val="single" w:sz="4" w:space="4" w:color="auto"/>
        </w:pBdr>
        <w:spacing w:after="120"/>
        <w:ind w:left="0"/>
        <w:contextualSpacing w:val="0"/>
        <w:jc w:val="both"/>
        <w:rPr>
          <w:rFonts w:asciiTheme="majorHAnsi" w:hAnsiTheme="majorHAnsi"/>
          <w:sz w:val="24"/>
          <w:szCs w:val="24"/>
          <w:lang w:val="bg-BG"/>
        </w:rPr>
      </w:pPr>
      <w:r w:rsidRPr="00475D2B">
        <w:rPr>
          <w:rFonts w:asciiTheme="majorHAnsi" w:hAnsiTheme="majorHAnsi"/>
          <w:sz w:val="24"/>
          <w:szCs w:val="24"/>
          <w:lang w:val="bg-BG"/>
        </w:rPr>
        <w:lastRenderedPageBreak/>
        <w:t xml:space="preserve">Размерът на окончателното плащане се изчислява след приключване на проекта, одобряване на финалния технически и финансов отчет, като се приспадне сумата по отпуснатото авансово плащане и натрупаната лихва във връзка с него. </w:t>
      </w:r>
    </w:p>
    <w:p w:rsidR="005E640A" w:rsidRPr="00475D2B" w:rsidRDefault="005E640A" w:rsidP="005E640A">
      <w:pPr>
        <w:pStyle w:val="ae"/>
        <w:pBdr>
          <w:top w:val="single" w:sz="4" w:space="1" w:color="auto"/>
          <w:left w:val="single" w:sz="4" w:space="4" w:color="auto"/>
          <w:bottom w:val="single" w:sz="4" w:space="1" w:color="auto"/>
          <w:right w:val="single" w:sz="4" w:space="4" w:color="auto"/>
        </w:pBdr>
        <w:spacing w:after="360"/>
        <w:ind w:left="0"/>
        <w:jc w:val="both"/>
        <w:rPr>
          <w:rFonts w:asciiTheme="majorHAnsi" w:hAnsiTheme="majorHAnsi"/>
          <w:sz w:val="24"/>
          <w:szCs w:val="24"/>
          <w:lang w:val="bg-BG"/>
        </w:rPr>
      </w:pPr>
      <w:r w:rsidRPr="00475D2B">
        <w:rPr>
          <w:rFonts w:asciiTheme="majorHAnsi" w:hAnsiTheme="majorHAnsi"/>
          <w:sz w:val="24"/>
          <w:szCs w:val="24"/>
          <w:lang w:val="bg-BG"/>
        </w:rPr>
        <w:t>Заявяването на авансово плащане от страна на бенефициентите не е задължително.</w:t>
      </w:r>
    </w:p>
    <w:p w:rsidR="005E640A" w:rsidRPr="00475D2B" w:rsidRDefault="005E640A" w:rsidP="005E640A">
      <w:pPr>
        <w:pStyle w:val="ae"/>
        <w:pBdr>
          <w:top w:val="single" w:sz="4" w:space="1" w:color="auto"/>
          <w:left w:val="single" w:sz="4" w:space="4" w:color="auto"/>
          <w:bottom w:val="single" w:sz="4" w:space="1" w:color="auto"/>
          <w:right w:val="single" w:sz="4" w:space="4" w:color="auto"/>
        </w:pBdr>
        <w:spacing w:after="360"/>
        <w:ind w:left="0"/>
        <w:jc w:val="both"/>
        <w:rPr>
          <w:rFonts w:asciiTheme="majorHAnsi" w:hAnsiTheme="majorHAnsi"/>
          <w:sz w:val="24"/>
          <w:szCs w:val="24"/>
          <w:lang w:val="bg-BG"/>
        </w:rPr>
      </w:pPr>
    </w:p>
    <w:p w:rsidR="005E640A" w:rsidRPr="00475D2B" w:rsidRDefault="005E640A" w:rsidP="005E640A">
      <w:pPr>
        <w:pStyle w:val="ae"/>
        <w:pBdr>
          <w:top w:val="single" w:sz="4" w:space="1" w:color="auto"/>
          <w:left w:val="single" w:sz="4" w:space="4" w:color="auto"/>
          <w:bottom w:val="single" w:sz="4" w:space="1" w:color="auto"/>
          <w:right w:val="single" w:sz="4" w:space="4" w:color="auto"/>
        </w:pBdr>
        <w:spacing w:after="360"/>
        <w:ind w:left="0"/>
        <w:jc w:val="both"/>
        <w:rPr>
          <w:rFonts w:asciiTheme="majorHAnsi" w:hAnsiTheme="majorHAnsi"/>
          <w:sz w:val="24"/>
          <w:szCs w:val="24"/>
          <w:lang w:val="bg-BG"/>
        </w:rPr>
      </w:pPr>
      <w:r w:rsidRPr="00475D2B">
        <w:rPr>
          <w:rFonts w:asciiTheme="majorHAnsi" w:hAnsiTheme="majorHAnsi"/>
          <w:b/>
          <w:sz w:val="24"/>
          <w:szCs w:val="24"/>
          <w:lang w:val="bg-BG"/>
        </w:rPr>
        <w:t>Вариант 2</w:t>
      </w:r>
      <w:r w:rsidRPr="00475D2B">
        <w:rPr>
          <w:rFonts w:asciiTheme="majorHAnsi" w:hAnsiTheme="majorHAnsi"/>
          <w:sz w:val="24"/>
          <w:szCs w:val="24"/>
          <w:lang w:val="bg-BG"/>
        </w:rPr>
        <w:t xml:space="preserve"> (само междинни плащания и окончателно плащане): </w:t>
      </w:r>
    </w:p>
    <w:p w:rsidR="005E640A" w:rsidRPr="00475D2B" w:rsidRDefault="005E640A" w:rsidP="005E640A">
      <w:pPr>
        <w:pStyle w:val="ae"/>
        <w:pBdr>
          <w:top w:val="single" w:sz="4" w:space="1" w:color="auto"/>
          <w:left w:val="single" w:sz="4" w:space="4" w:color="auto"/>
          <w:bottom w:val="single" w:sz="4" w:space="1" w:color="auto"/>
          <w:right w:val="single" w:sz="4" w:space="4" w:color="auto"/>
        </w:pBdr>
        <w:spacing w:after="360"/>
        <w:ind w:left="0"/>
        <w:jc w:val="both"/>
        <w:rPr>
          <w:rFonts w:asciiTheme="majorHAnsi" w:hAnsiTheme="majorHAnsi"/>
          <w:sz w:val="24"/>
          <w:szCs w:val="24"/>
          <w:lang w:val="bg-BG"/>
        </w:rPr>
      </w:pPr>
    </w:p>
    <w:p w:rsidR="00475D2B" w:rsidRPr="00475D2B" w:rsidRDefault="005E640A" w:rsidP="005E640A">
      <w:pPr>
        <w:pStyle w:val="ae"/>
        <w:pBdr>
          <w:top w:val="single" w:sz="4" w:space="1" w:color="auto"/>
          <w:left w:val="single" w:sz="4" w:space="4" w:color="auto"/>
          <w:bottom w:val="single" w:sz="4" w:space="1" w:color="auto"/>
          <w:right w:val="single" w:sz="4" w:space="4" w:color="auto"/>
        </w:pBdr>
        <w:spacing w:after="360"/>
        <w:ind w:left="0"/>
        <w:jc w:val="both"/>
        <w:rPr>
          <w:rFonts w:asciiTheme="majorHAnsi" w:hAnsiTheme="majorHAnsi"/>
          <w:sz w:val="24"/>
          <w:szCs w:val="24"/>
          <w:lang w:val="bg-BG"/>
        </w:rPr>
      </w:pPr>
      <w:r w:rsidRPr="00475D2B">
        <w:rPr>
          <w:rFonts w:asciiTheme="majorHAnsi" w:hAnsiTheme="majorHAnsi"/>
          <w:sz w:val="24"/>
          <w:szCs w:val="24"/>
          <w:lang w:val="bg-BG"/>
        </w:rPr>
        <w:t>В този случай бенефициентът първоначално заплаща всички разходи по изпълнение на проекта за определен период. За да получи исканата сума за междинно плащане, бенефициентът  трябва да представи за одобрение междинен технически и финансов отчет. Отчетът трябва да съдържа доказателствени документи, които удостоверяват изпълнението на отчитаните дейности/действия и изразходването на средствата (съгласно образците, приложени към Ръководството за изпълнение на ДБФП по Оперативна програма "Иновации и конкурентоспособност" 2014-2020). Документите се проверяват, разходите се верифицират и на бенефициента се изплаща тази част от изразходваните средства, която отговаря на процента на безвъзмездна финансова помощ, посочена в административния договор.</w:t>
      </w:r>
    </w:p>
    <w:p w:rsidR="005E640A" w:rsidRPr="00475D2B" w:rsidRDefault="005E640A" w:rsidP="005E640A">
      <w:pPr>
        <w:pStyle w:val="ae"/>
        <w:pBdr>
          <w:top w:val="single" w:sz="4" w:space="1" w:color="auto"/>
          <w:left w:val="single" w:sz="4" w:space="4" w:color="auto"/>
          <w:bottom w:val="single" w:sz="4" w:space="1" w:color="auto"/>
          <w:right w:val="single" w:sz="4" w:space="4" w:color="auto"/>
        </w:pBdr>
        <w:spacing w:after="360"/>
        <w:ind w:left="0"/>
        <w:jc w:val="both"/>
        <w:rPr>
          <w:rFonts w:asciiTheme="majorHAnsi" w:hAnsiTheme="majorHAnsi"/>
          <w:sz w:val="24"/>
          <w:szCs w:val="24"/>
          <w:lang w:val="bg-BG"/>
        </w:rPr>
      </w:pPr>
      <w:r w:rsidRPr="00475D2B">
        <w:rPr>
          <w:rFonts w:asciiTheme="majorHAnsi" w:hAnsiTheme="majorHAnsi"/>
          <w:sz w:val="24"/>
          <w:szCs w:val="24"/>
          <w:lang w:val="bg-BG"/>
        </w:rPr>
        <w:t xml:space="preserve">  </w:t>
      </w:r>
    </w:p>
    <w:p w:rsidR="005E640A" w:rsidRPr="00475D2B" w:rsidRDefault="005E640A" w:rsidP="005E640A">
      <w:pPr>
        <w:pStyle w:val="ae"/>
        <w:pBdr>
          <w:top w:val="single" w:sz="4" w:space="1" w:color="auto"/>
          <w:left w:val="single" w:sz="4" w:space="4" w:color="auto"/>
          <w:bottom w:val="single" w:sz="4" w:space="1" w:color="auto"/>
          <w:right w:val="single" w:sz="4" w:space="4" w:color="auto"/>
        </w:pBdr>
        <w:spacing w:after="360"/>
        <w:ind w:left="0"/>
        <w:jc w:val="both"/>
        <w:rPr>
          <w:rFonts w:asciiTheme="majorHAnsi" w:hAnsiTheme="majorHAnsi"/>
          <w:sz w:val="24"/>
          <w:szCs w:val="24"/>
          <w:lang w:val="bg-BG"/>
        </w:rPr>
      </w:pPr>
      <w:r w:rsidRPr="00475D2B">
        <w:rPr>
          <w:rFonts w:asciiTheme="majorHAnsi" w:hAnsiTheme="majorHAnsi"/>
          <w:b/>
          <w:sz w:val="24"/>
          <w:szCs w:val="24"/>
          <w:lang w:val="bg-BG"/>
        </w:rPr>
        <w:t>Вариант 3</w:t>
      </w:r>
      <w:r w:rsidRPr="00475D2B">
        <w:rPr>
          <w:rFonts w:asciiTheme="majorHAnsi" w:hAnsiTheme="majorHAnsi"/>
          <w:sz w:val="24"/>
          <w:szCs w:val="24"/>
          <w:lang w:val="bg-BG"/>
        </w:rPr>
        <w:t xml:space="preserve"> (само окончателно плащане):  </w:t>
      </w:r>
    </w:p>
    <w:p w:rsidR="005E640A" w:rsidRPr="00475D2B" w:rsidRDefault="005E640A" w:rsidP="005E640A">
      <w:pPr>
        <w:pStyle w:val="ae"/>
        <w:pBdr>
          <w:top w:val="single" w:sz="4" w:space="1" w:color="auto"/>
          <w:left w:val="single" w:sz="4" w:space="4" w:color="auto"/>
          <w:bottom w:val="single" w:sz="4" w:space="1" w:color="auto"/>
          <w:right w:val="single" w:sz="4" w:space="4" w:color="auto"/>
        </w:pBdr>
        <w:spacing w:after="360"/>
        <w:ind w:left="0"/>
        <w:jc w:val="both"/>
        <w:rPr>
          <w:rFonts w:asciiTheme="majorHAnsi" w:hAnsiTheme="majorHAnsi"/>
          <w:sz w:val="24"/>
          <w:szCs w:val="24"/>
          <w:lang w:val="bg-BG"/>
        </w:rPr>
      </w:pPr>
    </w:p>
    <w:p w:rsidR="005E640A" w:rsidRPr="00475D2B" w:rsidRDefault="005E640A" w:rsidP="005E640A">
      <w:pPr>
        <w:pStyle w:val="ae"/>
        <w:pBdr>
          <w:top w:val="single" w:sz="4" w:space="1" w:color="auto"/>
          <w:left w:val="single" w:sz="4" w:space="4" w:color="auto"/>
          <w:bottom w:val="single" w:sz="4" w:space="1" w:color="auto"/>
          <w:right w:val="single" w:sz="4" w:space="4" w:color="auto"/>
        </w:pBdr>
        <w:spacing w:after="120"/>
        <w:ind w:left="0"/>
        <w:contextualSpacing w:val="0"/>
        <w:jc w:val="both"/>
        <w:rPr>
          <w:rFonts w:asciiTheme="majorHAnsi" w:hAnsiTheme="majorHAnsi"/>
          <w:sz w:val="24"/>
          <w:szCs w:val="24"/>
          <w:lang w:val="bg-BG"/>
        </w:rPr>
      </w:pPr>
      <w:r w:rsidRPr="00475D2B">
        <w:rPr>
          <w:rFonts w:asciiTheme="majorHAnsi" w:hAnsiTheme="majorHAnsi"/>
          <w:sz w:val="24"/>
          <w:szCs w:val="24"/>
          <w:lang w:val="bg-BG"/>
        </w:rPr>
        <w:t>Окончателното плащане в размер на общата стойност на безвъзмездната финансова помощ, изчислена като се приложи процента, посочен в чл. 2.1 от Административния договор за безвъзмездна финансова помощ към общите верифицирани разходи. То се извършва след одобрението на финалния отчет, придружен с искане за плащане в съответствие с чл. 2.6 и чл. 2.7 от Общите условия към финансираните по Оперативна програма „Иновации и конкурентоспособност“ административни договори  за БФП.</w:t>
      </w:r>
    </w:p>
    <w:p w:rsidR="005E640A" w:rsidRPr="00475D2B" w:rsidRDefault="005E640A" w:rsidP="005E640A">
      <w:pPr>
        <w:pStyle w:val="ae"/>
        <w:pBdr>
          <w:top w:val="single" w:sz="4" w:space="1" w:color="auto"/>
          <w:left w:val="single" w:sz="4" w:space="4" w:color="auto"/>
          <w:bottom w:val="single" w:sz="4" w:space="1" w:color="auto"/>
          <w:right w:val="single" w:sz="4" w:space="4" w:color="auto"/>
        </w:pBdr>
        <w:spacing w:after="120"/>
        <w:ind w:left="0"/>
        <w:contextualSpacing w:val="0"/>
        <w:jc w:val="both"/>
        <w:rPr>
          <w:rFonts w:asciiTheme="majorHAnsi" w:hAnsiTheme="majorHAnsi"/>
          <w:sz w:val="24"/>
          <w:szCs w:val="24"/>
          <w:lang w:val="bg-BG"/>
        </w:rPr>
      </w:pPr>
    </w:p>
    <w:p w:rsidR="005E640A" w:rsidRPr="00475D2B" w:rsidRDefault="005E640A" w:rsidP="005E640A">
      <w:pPr>
        <w:pStyle w:val="ae"/>
        <w:pBdr>
          <w:top w:val="single" w:sz="4" w:space="1" w:color="auto"/>
          <w:left w:val="single" w:sz="4" w:space="4" w:color="auto"/>
          <w:bottom w:val="single" w:sz="4" w:space="1" w:color="auto"/>
          <w:right w:val="single" w:sz="4" w:space="4" w:color="auto"/>
        </w:pBdr>
        <w:spacing w:after="120"/>
        <w:ind w:left="0"/>
        <w:contextualSpacing w:val="0"/>
        <w:jc w:val="both"/>
        <w:rPr>
          <w:rFonts w:asciiTheme="majorHAnsi" w:hAnsiTheme="majorHAnsi"/>
          <w:sz w:val="24"/>
          <w:szCs w:val="24"/>
          <w:lang w:val="bg-BG"/>
        </w:rPr>
      </w:pPr>
      <w:r w:rsidRPr="00475D2B">
        <w:rPr>
          <w:rFonts w:asciiTheme="majorHAnsi" w:hAnsiTheme="majorHAnsi"/>
          <w:sz w:val="24"/>
          <w:szCs w:val="24"/>
          <w:lang w:val="bg-BG"/>
        </w:rPr>
        <w:t xml:space="preserve">В случай че бенефициентът избере Вариант 1 или Вариант 2, т.е. в случаите, когато плащането на безвъзмездната финансова помощ ще се извърши на няколко вноски (траншове), помощта и допустимите разходи следва да бъдат сконтирани до съответната стойност към момента на предоставянето на помощта при използване на референтния лихвен процент, използван за нуждите на държавните помощи, приложим към датата на предоставяне на помощта в съответствие с чл. 3, пар. 6 от Регламент 1407/2013. Референтният лихвен процент се актуализира периодично от Европейската комисия. Референтният лихвен процент за Република България за съответния период се оповестява на следния интернет адрес: </w:t>
      </w:r>
      <w:hyperlink r:id="rId13" w:history="1">
        <w:r w:rsidRPr="00475D2B">
          <w:rPr>
            <w:rStyle w:val="ad"/>
            <w:rFonts w:asciiTheme="majorHAnsi" w:eastAsia="MS Gothic" w:hAnsiTheme="majorHAnsi"/>
            <w:sz w:val="24"/>
            <w:szCs w:val="24"/>
            <w:lang w:val="bg-BG"/>
          </w:rPr>
          <w:t>http://stateaid.minfin.bg/bg/page/424</w:t>
        </w:r>
      </w:hyperlink>
      <w:r w:rsidRPr="00475D2B">
        <w:rPr>
          <w:rFonts w:asciiTheme="majorHAnsi" w:hAnsiTheme="majorHAnsi"/>
          <w:sz w:val="24"/>
          <w:szCs w:val="24"/>
          <w:lang w:val="bg-BG"/>
        </w:rPr>
        <w:t>.</w:t>
      </w:r>
    </w:p>
    <w:p w:rsidR="005E640A" w:rsidRPr="00475D2B" w:rsidRDefault="005E640A" w:rsidP="005E640A">
      <w:pPr>
        <w:pBdr>
          <w:top w:val="single" w:sz="4" w:space="1" w:color="auto"/>
          <w:left w:val="single" w:sz="4" w:space="4" w:color="auto"/>
          <w:bottom w:val="single" w:sz="4" w:space="1" w:color="auto"/>
          <w:right w:val="single" w:sz="4" w:space="4" w:color="auto"/>
        </w:pBdr>
        <w:spacing w:after="120"/>
        <w:jc w:val="both"/>
        <w:rPr>
          <w:rFonts w:asciiTheme="majorHAnsi" w:hAnsiTheme="majorHAnsi"/>
          <w:sz w:val="24"/>
          <w:szCs w:val="24"/>
          <w:lang w:val="bg-BG"/>
        </w:rPr>
      </w:pPr>
      <w:r w:rsidRPr="00475D2B">
        <w:rPr>
          <w:rFonts w:asciiTheme="majorHAnsi" w:hAnsiTheme="majorHAnsi"/>
          <w:sz w:val="24"/>
          <w:szCs w:val="24"/>
          <w:lang w:val="bg-BG"/>
        </w:rPr>
        <w:t>Сконтирането</w:t>
      </w:r>
      <w:r w:rsidRPr="00475D2B">
        <w:rPr>
          <w:rFonts w:asciiTheme="majorHAnsi" w:hAnsiTheme="majorHAnsi"/>
          <w:sz w:val="24"/>
          <w:szCs w:val="24"/>
          <w:vertAlign w:val="superscript"/>
          <w:lang w:val="bg-BG"/>
        </w:rPr>
        <w:footnoteReference w:id="2"/>
      </w:r>
      <w:r w:rsidRPr="00475D2B">
        <w:rPr>
          <w:rFonts w:asciiTheme="majorHAnsi" w:hAnsiTheme="majorHAnsi"/>
          <w:sz w:val="24"/>
          <w:szCs w:val="24"/>
          <w:lang w:val="bg-BG"/>
        </w:rPr>
        <w:t xml:space="preserve"> ще се извършва от Управляващия орган с оглед гарантиране, че предоставената безвъзмездна финансова помощ ще бъде съобразена с праговете и интензитетите за минимална помощ, посочени в т. 9 и 10 от Условията за кандидатстване.</w:t>
      </w:r>
    </w:p>
    <w:p w:rsidR="005E640A" w:rsidRPr="00475D2B" w:rsidRDefault="005E640A" w:rsidP="005E640A">
      <w:pPr>
        <w:pBdr>
          <w:top w:val="single" w:sz="4" w:space="1" w:color="auto"/>
          <w:left w:val="single" w:sz="4" w:space="4" w:color="auto"/>
          <w:bottom w:val="single" w:sz="4" w:space="1" w:color="auto"/>
          <w:right w:val="single" w:sz="4" w:space="4" w:color="auto"/>
        </w:pBdr>
        <w:spacing w:after="120"/>
        <w:jc w:val="both"/>
        <w:rPr>
          <w:rFonts w:asciiTheme="majorHAnsi" w:hAnsiTheme="majorHAnsi"/>
          <w:sz w:val="24"/>
          <w:szCs w:val="24"/>
          <w:lang w:val="bg-BG"/>
        </w:rPr>
      </w:pPr>
      <w:r w:rsidRPr="00475D2B">
        <w:rPr>
          <w:rFonts w:asciiTheme="majorHAnsi" w:hAnsiTheme="majorHAnsi"/>
          <w:sz w:val="24"/>
          <w:szCs w:val="24"/>
          <w:lang w:val="bg-BG"/>
        </w:rPr>
        <w:lastRenderedPageBreak/>
        <w:t>Допустимо е придобиването на активи чрез договор за краткосрочен финансов лизинг в който се съдържа задължението бенефициентът  да закупи актива след изтичането на договора за лизинг, но не по-късно от крайния срок на изпълнение на проекта. Придобиването чрез финансов лизинг е допустимо при спазване на условията на чл. 18, ал. 1 и ал. 3 на ПМС № 189/2016 г. Бенефициентът  може да придобие собствеността върху даден актив или чрез договор за финансов лизинг или чрез договор за покупка, при спазване и на правилата посочени в Ръководството за изпълнение на ДБФП по Оперативна програма "Иновации и конкурентоспособност" 2014-2020. Окончателно плащане по договори за краткосрочен финансов лизинг се извършва след изплащане на цялата стойност към лизингодателя и прехвърляне собствеността на дадения актив.</w:t>
      </w:r>
    </w:p>
    <w:p w:rsidR="005E640A" w:rsidRPr="00475D2B" w:rsidRDefault="005E640A" w:rsidP="005E640A">
      <w:pPr>
        <w:pStyle w:val="3"/>
        <w:spacing w:before="120" w:after="120"/>
        <w:rPr>
          <w:rFonts w:asciiTheme="majorHAnsi" w:hAnsiTheme="majorHAnsi"/>
          <w:sz w:val="24"/>
          <w:szCs w:val="24"/>
          <w:lang w:val="bg-BG"/>
        </w:rPr>
      </w:pPr>
      <w:bookmarkStart w:id="2" w:name="_Toc442348059"/>
    </w:p>
    <w:p w:rsidR="005E640A" w:rsidRPr="00475D2B" w:rsidRDefault="005E640A" w:rsidP="005E640A">
      <w:pPr>
        <w:pStyle w:val="3"/>
        <w:spacing w:before="120" w:after="120"/>
        <w:rPr>
          <w:rFonts w:asciiTheme="majorHAnsi" w:hAnsiTheme="majorHAnsi"/>
          <w:color w:val="FF0000"/>
          <w:sz w:val="24"/>
          <w:szCs w:val="24"/>
          <w:lang w:val="bg-BG"/>
        </w:rPr>
      </w:pPr>
      <w:r w:rsidRPr="00475D2B">
        <w:rPr>
          <w:rFonts w:asciiTheme="majorHAnsi" w:hAnsiTheme="majorHAnsi"/>
          <w:sz w:val="24"/>
          <w:szCs w:val="24"/>
          <w:lang w:val="bg-BG"/>
        </w:rPr>
        <w:t>3. Мерки за информиране и публичност</w:t>
      </w:r>
      <w:bookmarkEnd w:id="2"/>
    </w:p>
    <w:p w:rsidR="005E640A" w:rsidRPr="00475D2B" w:rsidRDefault="005E640A" w:rsidP="005E640A">
      <w:pPr>
        <w:pStyle w:val="ae"/>
        <w:pBdr>
          <w:top w:val="single" w:sz="4" w:space="1" w:color="auto"/>
          <w:left w:val="single" w:sz="4" w:space="4" w:color="auto"/>
          <w:bottom w:val="single" w:sz="4" w:space="1" w:color="auto"/>
          <w:right w:val="single" w:sz="4" w:space="4" w:color="auto"/>
        </w:pBdr>
        <w:spacing w:after="120"/>
        <w:ind w:left="0"/>
        <w:contextualSpacing w:val="0"/>
        <w:jc w:val="both"/>
        <w:rPr>
          <w:rFonts w:asciiTheme="majorHAnsi" w:hAnsiTheme="majorHAnsi"/>
          <w:sz w:val="24"/>
          <w:szCs w:val="24"/>
          <w:lang w:val="bg-BG"/>
        </w:rPr>
      </w:pPr>
      <w:r w:rsidRPr="00475D2B">
        <w:rPr>
          <w:rFonts w:asciiTheme="majorHAnsi" w:hAnsiTheme="majorHAnsi"/>
          <w:sz w:val="24"/>
          <w:szCs w:val="24"/>
          <w:lang w:val="bg-BG"/>
        </w:rPr>
        <w:t>Всички бенефициенти трябва да прилагат подходящи мерки за публичност и информираност съгласно правилата на Приложение XII на Регламент (ЕС) № 1303/2013.</w:t>
      </w:r>
    </w:p>
    <w:p w:rsidR="005E640A" w:rsidRPr="00475D2B" w:rsidRDefault="005E640A" w:rsidP="005E640A">
      <w:pPr>
        <w:pStyle w:val="ae"/>
        <w:pBdr>
          <w:top w:val="single" w:sz="4" w:space="1" w:color="auto"/>
          <w:left w:val="single" w:sz="4" w:space="4" w:color="auto"/>
          <w:bottom w:val="single" w:sz="4" w:space="1" w:color="auto"/>
          <w:right w:val="single" w:sz="4" w:space="4" w:color="auto"/>
        </w:pBdr>
        <w:spacing w:after="120"/>
        <w:ind w:left="0"/>
        <w:contextualSpacing w:val="0"/>
        <w:jc w:val="both"/>
        <w:rPr>
          <w:rFonts w:asciiTheme="majorHAnsi" w:hAnsiTheme="majorHAnsi"/>
          <w:sz w:val="24"/>
          <w:szCs w:val="24"/>
          <w:lang w:val="bg-BG"/>
        </w:rPr>
      </w:pPr>
      <w:r w:rsidRPr="00475D2B">
        <w:rPr>
          <w:rFonts w:asciiTheme="majorHAnsi" w:hAnsiTheme="majorHAnsi"/>
          <w:sz w:val="24"/>
          <w:szCs w:val="24"/>
          <w:lang w:val="bg-BG"/>
        </w:rPr>
        <w:t>Бенефициентите са длъжни да упоменат финансовия принос на Европейския фонд за регионално развитие  чрез Оперативна програма „Иновации и конкурентоспособност” 2014-2020 в информацията, изготвяна и предоставяна във връзка с изпълнението на проекта, във всички отчети за изпълнение на договора (междинни и финален), както и във всички други документи, отнасящи се до изпълнението на дадена дейност по проекта. Във всички обяви и публикации, свързани с изпълнението на проекта, бенефициентът е длъжен да оповести, че проектът е получил финансиране от ЕФРР чрез ОПИК.</w:t>
      </w:r>
    </w:p>
    <w:p w:rsidR="005E640A" w:rsidRPr="00475D2B" w:rsidRDefault="005E640A" w:rsidP="005E640A">
      <w:pPr>
        <w:pStyle w:val="ae"/>
        <w:pBdr>
          <w:top w:val="single" w:sz="4" w:space="1" w:color="auto"/>
          <w:left w:val="single" w:sz="4" w:space="4" w:color="auto"/>
          <w:bottom w:val="single" w:sz="4" w:space="1" w:color="auto"/>
          <w:right w:val="single" w:sz="4" w:space="4" w:color="auto"/>
        </w:pBdr>
        <w:spacing w:after="120"/>
        <w:ind w:left="0"/>
        <w:contextualSpacing w:val="0"/>
        <w:jc w:val="both"/>
        <w:rPr>
          <w:rFonts w:asciiTheme="majorHAnsi" w:hAnsiTheme="majorHAnsi"/>
          <w:sz w:val="24"/>
          <w:szCs w:val="24"/>
          <w:lang w:val="bg-BG"/>
        </w:rPr>
      </w:pPr>
      <w:r w:rsidRPr="00475D2B">
        <w:rPr>
          <w:rFonts w:asciiTheme="majorHAnsi" w:hAnsiTheme="majorHAnsi"/>
          <w:sz w:val="24"/>
          <w:szCs w:val="24"/>
          <w:lang w:val="bg-BG"/>
        </w:rPr>
        <w:t>По време на изпълнението на даден проект бенефициентът информира обществеността за получената от ЕФРР подкрепа като:</w:t>
      </w:r>
    </w:p>
    <w:p w:rsidR="005E640A" w:rsidRPr="00475D2B" w:rsidRDefault="005E640A" w:rsidP="005E640A">
      <w:pPr>
        <w:pStyle w:val="ae"/>
        <w:pBdr>
          <w:top w:val="single" w:sz="4" w:space="1" w:color="auto"/>
          <w:left w:val="single" w:sz="4" w:space="4" w:color="auto"/>
          <w:bottom w:val="single" w:sz="4" w:space="1" w:color="auto"/>
          <w:right w:val="single" w:sz="4" w:space="4" w:color="auto"/>
        </w:pBdr>
        <w:spacing w:after="120"/>
        <w:ind w:left="0"/>
        <w:contextualSpacing w:val="0"/>
        <w:jc w:val="both"/>
        <w:rPr>
          <w:rFonts w:asciiTheme="majorHAnsi" w:hAnsiTheme="majorHAnsi"/>
          <w:sz w:val="24"/>
          <w:szCs w:val="24"/>
          <w:lang w:val="bg-BG"/>
        </w:rPr>
      </w:pPr>
      <w:r w:rsidRPr="00475D2B">
        <w:rPr>
          <w:rFonts w:asciiTheme="majorHAnsi" w:hAnsiTheme="majorHAnsi"/>
          <w:sz w:val="24"/>
          <w:szCs w:val="24"/>
          <w:lang w:val="bg-BG"/>
        </w:rPr>
        <w:t>а) включва на интернет страницата си, когато такава съществува, кратко описание на проекта, пропорционално на равнището на подкрепа, включително на неговите цели и резултати, и откроява финансовата подкрепа от ЕС;</w:t>
      </w:r>
    </w:p>
    <w:p w:rsidR="005E640A" w:rsidRPr="00475D2B" w:rsidRDefault="005E640A" w:rsidP="005E640A">
      <w:pPr>
        <w:pStyle w:val="ae"/>
        <w:pBdr>
          <w:top w:val="single" w:sz="4" w:space="1" w:color="auto"/>
          <w:left w:val="single" w:sz="4" w:space="4" w:color="auto"/>
          <w:bottom w:val="single" w:sz="4" w:space="1" w:color="auto"/>
          <w:right w:val="single" w:sz="4" w:space="4" w:color="auto"/>
        </w:pBdr>
        <w:spacing w:after="120"/>
        <w:ind w:left="0"/>
        <w:contextualSpacing w:val="0"/>
        <w:jc w:val="both"/>
        <w:rPr>
          <w:rFonts w:asciiTheme="majorHAnsi" w:hAnsiTheme="majorHAnsi"/>
          <w:sz w:val="24"/>
          <w:szCs w:val="24"/>
          <w:lang w:val="bg-BG"/>
        </w:rPr>
      </w:pPr>
      <w:r w:rsidRPr="00475D2B">
        <w:rPr>
          <w:rFonts w:asciiTheme="majorHAnsi" w:hAnsiTheme="majorHAnsi"/>
          <w:sz w:val="24"/>
          <w:szCs w:val="24"/>
          <w:lang w:val="bg-BG"/>
        </w:rPr>
        <w:t>б) поставя минимум един плакат с информация за проекта (поне размер А3), в който се споменава финансовата подкрепа от ЕС, на видно за обществеността място, като например входа на сграда.</w:t>
      </w:r>
      <w:r w:rsidR="006642BC" w:rsidRPr="00475D2B">
        <w:rPr>
          <w:rFonts w:asciiTheme="majorHAnsi" w:hAnsiTheme="majorHAnsi"/>
          <w:sz w:val="24"/>
          <w:szCs w:val="24"/>
          <w:lang w:val="bg-BG"/>
        </w:rPr>
        <w:t xml:space="preserve"> </w:t>
      </w:r>
      <w:r w:rsidRPr="00475D2B">
        <w:rPr>
          <w:rFonts w:asciiTheme="majorHAnsi" w:hAnsiTheme="majorHAnsi"/>
          <w:sz w:val="24"/>
          <w:szCs w:val="24"/>
          <w:lang w:val="bg-BG"/>
        </w:rPr>
        <w:t>Плакатът следва да съдържа следната текстова и визуална информация:</w:t>
      </w:r>
    </w:p>
    <w:p w:rsidR="005E640A" w:rsidRPr="00475D2B" w:rsidRDefault="005E640A" w:rsidP="005E640A">
      <w:pPr>
        <w:pStyle w:val="ae"/>
        <w:pBdr>
          <w:top w:val="single" w:sz="4" w:space="1" w:color="auto"/>
          <w:left w:val="single" w:sz="4" w:space="4" w:color="auto"/>
          <w:bottom w:val="single" w:sz="4" w:space="1" w:color="auto"/>
          <w:right w:val="single" w:sz="4" w:space="4" w:color="auto"/>
        </w:pBdr>
        <w:spacing w:after="120"/>
        <w:ind w:left="0"/>
        <w:contextualSpacing w:val="0"/>
        <w:jc w:val="both"/>
        <w:rPr>
          <w:rFonts w:asciiTheme="majorHAnsi" w:hAnsiTheme="majorHAnsi"/>
          <w:sz w:val="24"/>
          <w:szCs w:val="24"/>
          <w:lang w:val="bg-BG"/>
        </w:rPr>
      </w:pPr>
      <w:r w:rsidRPr="00475D2B">
        <w:rPr>
          <w:rFonts w:asciiTheme="majorHAnsi" w:hAnsiTheme="majorHAnsi"/>
          <w:sz w:val="24"/>
          <w:szCs w:val="24"/>
          <w:lang w:val="bg-BG"/>
        </w:rPr>
        <w:t>- емблемата на ЕС и упоменаването „Европейски съюз“;</w:t>
      </w:r>
    </w:p>
    <w:p w:rsidR="005E640A" w:rsidRPr="00475D2B" w:rsidRDefault="005E640A" w:rsidP="005E640A">
      <w:pPr>
        <w:pStyle w:val="ae"/>
        <w:pBdr>
          <w:top w:val="single" w:sz="4" w:space="1" w:color="auto"/>
          <w:left w:val="single" w:sz="4" w:space="4" w:color="auto"/>
          <w:bottom w:val="single" w:sz="4" w:space="1" w:color="auto"/>
          <w:right w:val="single" w:sz="4" w:space="4" w:color="auto"/>
        </w:pBdr>
        <w:spacing w:after="120"/>
        <w:ind w:left="0"/>
        <w:contextualSpacing w:val="0"/>
        <w:jc w:val="both"/>
        <w:rPr>
          <w:rFonts w:asciiTheme="majorHAnsi" w:hAnsiTheme="majorHAnsi"/>
          <w:sz w:val="24"/>
          <w:szCs w:val="24"/>
          <w:lang w:val="bg-BG"/>
        </w:rPr>
      </w:pPr>
      <w:r w:rsidRPr="00475D2B">
        <w:rPr>
          <w:rFonts w:asciiTheme="majorHAnsi" w:hAnsiTheme="majorHAnsi"/>
          <w:sz w:val="24"/>
          <w:szCs w:val="24"/>
          <w:lang w:val="bg-BG"/>
        </w:rPr>
        <w:t>- наименованието на съфинансиращия фонд - Европейски фонд за регионално развитие;</w:t>
      </w:r>
    </w:p>
    <w:p w:rsidR="005E640A" w:rsidRPr="00475D2B" w:rsidRDefault="005E640A" w:rsidP="005E640A">
      <w:pPr>
        <w:pStyle w:val="ae"/>
        <w:pBdr>
          <w:top w:val="single" w:sz="4" w:space="1" w:color="auto"/>
          <w:left w:val="single" w:sz="4" w:space="4" w:color="auto"/>
          <w:bottom w:val="single" w:sz="4" w:space="1" w:color="auto"/>
          <w:right w:val="single" w:sz="4" w:space="4" w:color="auto"/>
        </w:pBdr>
        <w:spacing w:after="120"/>
        <w:ind w:left="0"/>
        <w:contextualSpacing w:val="0"/>
        <w:jc w:val="both"/>
        <w:rPr>
          <w:rFonts w:asciiTheme="majorHAnsi" w:hAnsiTheme="majorHAnsi"/>
          <w:sz w:val="24"/>
          <w:szCs w:val="24"/>
          <w:lang w:val="bg-BG"/>
        </w:rPr>
      </w:pPr>
      <w:r w:rsidRPr="00475D2B">
        <w:rPr>
          <w:rFonts w:asciiTheme="majorHAnsi" w:hAnsiTheme="majorHAnsi"/>
          <w:sz w:val="24"/>
          <w:szCs w:val="24"/>
          <w:lang w:val="bg-BG"/>
        </w:rPr>
        <w:t>- общото лого за програмен период 2014-2020 г.;</w:t>
      </w:r>
    </w:p>
    <w:p w:rsidR="005E640A" w:rsidRPr="00475D2B" w:rsidRDefault="005E640A" w:rsidP="005E640A">
      <w:pPr>
        <w:pStyle w:val="ae"/>
        <w:pBdr>
          <w:top w:val="single" w:sz="4" w:space="1" w:color="auto"/>
          <w:left w:val="single" w:sz="4" w:space="4" w:color="auto"/>
          <w:bottom w:val="single" w:sz="4" w:space="1" w:color="auto"/>
          <w:right w:val="single" w:sz="4" w:space="4" w:color="auto"/>
        </w:pBdr>
        <w:spacing w:after="120"/>
        <w:ind w:left="0"/>
        <w:contextualSpacing w:val="0"/>
        <w:jc w:val="both"/>
        <w:rPr>
          <w:rFonts w:asciiTheme="majorHAnsi" w:hAnsiTheme="majorHAnsi"/>
          <w:sz w:val="24"/>
          <w:szCs w:val="24"/>
          <w:lang w:val="bg-BG"/>
        </w:rPr>
      </w:pPr>
      <w:r w:rsidRPr="00475D2B">
        <w:rPr>
          <w:rFonts w:asciiTheme="majorHAnsi" w:hAnsiTheme="majorHAnsi"/>
          <w:sz w:val="24"/>
          <w:szCs w:val="24"/>
          <w:lang w:val="bg-BG"/>
        </w:rPr>
        <w:t>- наименованието на Оперативна програма „Иновации и конкурентоспособност” 2014-2020;</w:t>
      </w:r>
    </w:p>
    <w:p w:rsidR="005E640A" w:rsidRPr="00475D2B" w:rsidRDefault="005E640A" w:rsidP="005E640A">
      <w:pPr>
        <w:pStyle w:val="ae"/>
        <w:pBdr>
          <w:top w:val="single" w:sz="4" w:space="1" w:color="auto"/>
          <w:left w:val="single" w:sz="4" w:space="4" w:color="auto"/>
          <w:bottom w:val="single" w:sz="4" w:space="1" w:color="auto"/>
          <w:right w:val="single" w:sz="4" w:space="4" w:color="auto"/>
        </w:pBdr>
        <w:spacing w:after="120"/>
        <w:ind w:left="0"/>
        <w:contextualSpacing w:val="0"/>
        <w:jc w:val="both"/>
        <w:rPr>
          <w:rFonts w:asciiTheme="majorHAnsi" w:hAnsiTheme="majorHAnsi"/>
          <w:sz w:val="24"/>
          <w:szCs w:val="24"/>
          <w:lang w:val="bg-BG"/>
        </w:rPr>
      </w:pPr>
      <w:r w:rsidRPr="00475D2B">
        <w:rPr>
          <w:rFonts w:asciiTheme="majorHAnsi" w:hAnsiTheme="majorHAnsi"/>
          <w:sz w:val="24"/>
          <w:szCs w:val="24"/>
          <w:lang w:val="bg-BG"/>
        </w:rPr>
        <w:t>- наименованието на проекта;</w:t>
      </w:r>
    </w:p>
    <w:p w:rsidR="005E640A" w:rsidRPr="00475D2B" w:rsidRDefault="005E640A" w:rsidP="005E640A">
      <w:pPr>
        <w:pStyle w:val="ae"/>
        <w:pBdr>
          <w:top w:val="single" w:sz="4" w:space="1" w:color="auto"/>
          <w:left w:val="single" w:sz="4" w:space="4" w:color="auto"/>
          <w:bottom w:val="single" w:sz="4" w:space="1" w:color="auto"/>
          <w:right w:val="single" w:sz="4" w:space="4" w:color="auto"/>
        </w:pBdr>
        <w:spacing w:after="120"/>
        <w:ind w:left="0"/>
        <w:contextualSpacing w:val="0"/>
        <w:jc w:val="both"/>
        <w:rPr>
          <w:rFonts w:asciiTheme="majorHAnsi" w:hAnsiTheme="majorHAnsi"/>
          <w:sz w:val="24"/>
          <w:szCs w:val="24"/>
          <w:lang w:val="bg-BG"/>
        </w:rPr>
      </w:pPr>
      <w:r w:rsidRPr="00475D2B">
        <w:rPr>
          <w:rFonts w:asciiTheme="majorHAnsi" w:hAnsiTheme="majorHAnsi"/>
          <w:sz w:val="24"/>
          <w:szCs w:val="24"/>
          <w:lang w:val="bg-BG"/>
        </w:rPr>
        <w:t>- общата стойност на проекта, както и размера на европейското и националното съфинансиране, представени в български лева;</w:t>
      </w:r>
    </w:p>
    <w:p w:rsidR="005E640A" w:rsidRPr="00475D2B" w:rsidRDefault="005E640A" w:rsidP="005E640A">
      <w:pPr>
        <w:pStyle w:val="ae"/>
        <w:pBdr>
          <w:top w:val="single" w:sz="4" w:space="1" w:color="auto"/>
          <w:left w:val="single" w:sz="4" w:space="4" w:color="auto"/>
          <w:bottom w:val="single" w:sz="4" w:space="1" w:color="auto"/>
          <w:right w:val="single" w:sz="4" w:space="4" w:color="auto"/>
        </w:pBdr>
        <w:spacing w:after="120"/>
        <w:ind w:left="0"/>
        <w:contextualSpacing w:val="0"/>
        <w:jc w:val="both"/>
        <w:rPr>
          <w:rFonts w:asciiTheme="majorHAnsi" w:hAnsiTheme="majorHAnsi"/>
          <w:sz w:val="24"/>
          <w:szCs w:val="24"/>
          <w:lang w:val="bg-BG"/>
        </w:rPr>
      </w:pPr>
      <w:r w:rsidRPr="00475D2B">
        <w:rPr>
          <w:rFonts w:asciiTheme="majorHAnsi" w:hAnsiTheme="majorHAnsi"/>
          <w:sz w:val="24"/>
          <w:szCs w:val="24"/>
          <w:lang w:val="bg-BG"/>
        </w:rPr>
        <w:t>- начална и крайна дата на изпълнение на проекта.</w:t>
      </w:r>
    </w:p>
    <w:p w:rsidR="005E640A" w:rsidRPr="00475D2B" w:rsidRDefault="005E640A" w:rsidP="005E640A">
      <w:pPr>
        <w:pStyle w:val="ae"/>
        <w:pBdr>
          <w:top w:val="single" w:sz="4" w:space="1" w:color="auto"/>
          <w:left w:val="single" w:sz="4" w:space="4" w:color="auto"/>
          <w:bottom w:val="single" w:sz="4" w:space="1" w:color="auto"/>
          <w:right w:val="single" w:sz="4" w:space="4" w:color="auto"/>
        </w:pBdr>
        <w:spacing w:after="120"/>
        <w:ind w:left="0"/>
        <w:contextualSpacing w:val="0"/>
        <w:jc w:val="both"/>
        <w:rPr>
          <w:rFonts w:asciiTheme="majorHAnsi" w:hAnsiTheme="majorHAnsi"/>
          <w:sz w:val="24"/>
          <w:szCs w:val="24"/>
          <w:lang w:val="bg-BG"/>
        </w:rPr>
      </w:pPr>
      <w:r w:rsidRPr="00475D2B">
        <w:rPr>
          <w:rFonts w:asciiTheme="majorHAnsi" w:hAnsiTheme="majorHAnsi"/>
          <w:sz w:val="24"/>
          <w:szCs w:val="24"/>
          <w:lang w:val="bg-BG"/>
        </w:rPr>
        <w:lastRenderedPageBreak/>
        <w:t>Не по-късно от три месеца след приключването на даден проект бенефициентът поставя постоянна табела или билборд (които заместват плаката) с големи размери на видимо за обществеността място за всеки проект, който изпълнява следните критерии:</w:t>
      </w:r>
    </w:p>
    <w:p w:rsidR="005E640A" w:rsidRPr="00475D2B" w:rsidRDefault="005E640A" w:rsidP="005E640A">
      <w:pPr>
        <w:pStyle w:val="ae"/>
        <w:pBdr>
          <w:top w:val="single" w:sz="4" w:space="1" w:color="auto"/>
          <w:left w:val="single" w:sz="4" w:space="4" w:color="auto"/>
          <w:bottom w:val="single" w:sz="4" w:space="1" w:color="auto"/>
          <w:right w:val="single" w:sz="4" w:space="4" w:color="auto"/>
        </w:pBdr>
        <w:spacing w:after="120"/>
        <w:ind w:left="0"/>
        <w:contextualSpacing w:val="0"/>
        <w:jc w:val="both"/>
        <w:rPr>
          <w:rFonts w:asciiTheme="majorHAnsi" w:hAnsiTheme="majorHAnsi"/>
          <w:sz w:val="24"/>
          <w:szCs w:val="24"/>
          <w:lang w:val="bg-BG"/>
        </w:rPr>
      </w:pPr>
      <w:r w:rsidRPr="00475D2B">
        <w:rPr>
          <w:rFonts w:asciiTheme="majorHAnsi" w:hAnsiTheme="majorHAnsi"/>
          <w:sz w:val="24"/>
          <w:szCs w:val="24"/>
          <w:lang w:val="bg-BG"/>
        </w:rPr>
        <w:t>а) общата публична подкрепа за проекта надхвърля 500 000 евро; както и</w:t>
      </w:r>
    </w:p>
    <w:p w:rsidR="005E640A" w:rsidRPr="00475D2B" w:rsidRDefault="005E640A" w:rsidP="005E640A">
      <w:pPr>
        <w:pStyle w:val="ae"/>
        <w:pBdr>
          <w:top w:val="single" w:sz="4" w:space="1" w:color="auto"/>
          <w:left w:val="single" w:sz="4" w:space="4" w:color="auto"/>
          <w:bottom w:val="single" w:sz="4" w:space="1" w:color="auto"/>
          <w:right w:val="single" w:sz="4" w:space="4" w:color="auto"/>
        </w:pBdr>
        <w:spacing w:after="120"/>
        <w:ind w:left="0"/>
        <w:contextualSpacing w:val="0"/>
        <w:jc w:val="both"/>
        <w:rPr>
          <w:rFonts w:asciiTheme="majorHAnsi" w:hAnsiTheme="majorHAnsi"/>
          <w:sz w:val="24"/>
          <w:szCs w:val="24"/>
          <w:lang w:val="bg-BG"/>
        </w:rPr>
      </w:pPr>
      <w:r w:rsidRPr="00475D2B">
        <w:rPr>
          <w:rFonts w:asciiTheme="majorHAnsi" w:hAnsiTheme="majorHAnsi"/>
          <w:sz w:val="24"/>
          <w:szCs w:val="24"/>
          <w:lang w:val="bg-BG"/>
        </w:rPr>
        <w:t>б) проектът се състои в закупуване на физически предмет (материален актив) или във финансиране на инфраструктура или на строителни работи.</w:t>
      </w:r>
    </w:p>
    <w:p w:rsidR="005E640A" w:rsidRPr="00475D2B" w:rsidRDefault="005E640A" w:rsidP="005E640A">
      <w:pPr>
        <w:pStyle w:val="ae"/>
        <w:pBdr>
          <w:top w:val="single" w:sz="4" w:space="1" w:color="auto"/>
          <w:left w:val="single" w:sz="4" w:space="4" w:color="auto"/>
          <w:bottom w:val="single" w:sz="4" w:space="1" w:color="auto"/>
          <w:right w:val="single" w:sz="4" w:space="4" w:color="auto"/>
        </w:pBdr>
        <w:spacing w:after="120"/>
        <w:ind w:left="0"/>
        <w:contextualSpacing w:val="0"/>
        <w:jc w:val="both"/>
        <w:rPr>
          <w:rFonts w:asciiTheme="majorHAnsi" w:hAnsiTheme="majorHAnsi"/>
          <w:sz w:val="24"/>
          <w:szCs w:val="24"/>
          <w:lang w:val="bg-BG"/>
        </w:rPr>
      </w:pPr>
      <w:r w:rsidRPr="00475D2B">
        <w:rPr>
          <w:rFonts w:asciiTheme="majorHAnsi" w:hAnsiTheme="majorHAnsi"/>
          <w:sz w:val="24"/>
          <w:szCs w:val="24"/>
          <w:lang w:val="bg-BG"/>
        </w:rPr>
        <w:t>Постоянната табела или билбордът следва да съдържат същите задължителни елементи като плаката (описани по-горе) като емблемата на ЕС, упоменаването „Европейски съюз“ и наименованието на финансиращия фонд трябва да заемат минимум 25% от площта им. Те се изготвят в съответствие с техническите характеристики, приети от Европейската комисия.</w:t>
      </w:r>
    </w:p>
    <w:p w:rsidR="005E640A" w:rsidRPr="00475D2B" w:rsidRDefault="005E640A" w:rsidP="005E640A">
      <w:pPr>
        <w:pStyle w:val="ae"/>
        <w:pBdr>
          <w:top w:val="single" w:sz="4" w:space="1" w:color="auto"/>
          <w:left w:val="single" w:sz="4" w:space="4" w:color="auto"/>
          <w:bottom w:val="single" w:sz="4" w:space="1" w:color="auto"/>
          <w:right w:val="single" w:sz="4" w:space="4" w:color="auto"/>
        </w:pBdr>
        <w:spacing w:after="120"/>
        <w:ind w:left="0"/>
        <w:contextualSpacing w:val="0"/>
        <w:jc w:val="both"/>
        <w:rPr>
          <w:rFonts w:asciiTheme="majorHAnsi" w:hAnsiTheme="majorHAnsi"/>
          <w:sz w:val="24"/>
          <w:szCs w:val="24"/>
          <w:lang w:val="bg-BG"/>
        </w:rPr>
      </w:pPr>
      <w:r w:rsidRPr="00475D2B">
        <w:rPr>
          <w:rFonts w:asciiTheme="majorHAnsi" w:hAnsiTheme="majorHAnsi"/>
          <w:sz w:val="24"/>
          <w:szCs w:val="24"/>
          <w:lang w:val="bg-BG"/>
        </w:rPr>
        <w:t>Емблемата на ЕС следва да е в съответствие с графичните стандарти, определени в приложение II от Регламент за изпълнение (ЕС) № 821/2014 на Комисията.</w:t>
      </w:r>
    </w:p>
    <w:p w:rsidR="005E640A" w:rsidRPr="00475D2B" w:rsidRDefault="005E640A" w:rsidP="005E640A">
      <w:pPr>
        <w:pStyle w:val="ae"/>
        <w:pBdr>
          <w:top w:val="single" w:sz="4" w:space="1" w:color="auto"/>
          <w:left w:val="single" w:sz="4" w:space="4" w:color="auto"/>
          <w:bottom w:val="single" w:sz="4" w:space="1" w:color="auto"/>
          <w:right w:val="single" w:sz="4" w:space="4" w:color="auto"/>
        </w:pBdr>
        <w:spacing w:after="120"/>
        <w:ind w:left="0"/>
        <w:contextualSpacing w:val="0"/>
        <w:jc w:val="both"/>
        <w:rPr>
          <w:rFonts w:asciiTheme="majorHAnsi" w:hAnsiTheme="majorHAnsi"/>
          <w:sz w:val="24"/>
          <w:szCs w:val="24"/>
          <w:lang w:val="bg-BG"/>
        </w:rPr>
      </w:pPr>
      <w:r w:rsidRPr="00475D2B">
        <w:rPr>
          <w:rFonts w:asciiTheme="majorHAnsi" w:hAnsiTheme="majorHAnsi"/>
          <w:sz w:val="24"/>
          <w:szCs w:val="24"/>
          <w:lang w:val="bg-BG"/>
        </w:rPr>
        <w:t xml:space="preserve">В случаите на закупуване на оборудване е необходимо да се поставят стикери върху всеки актив, закупен по проекта, включващи информация за финансовия принос на ЕС чрез ОПИК. </w:t>
      </w:r>
    </w:p>
    <w:p w:rsidR="005E640A" w:rsidRPr="00475D2B" w:rsidRDefault="005E640A" w:rsidP="005E640A">
      <w:pPr>
        <w:pStyle w:val="ae"/>
        <w:pBdr>
          <w:top w:val="single" w:sz="4" w:space="1" w:color="auto"/>
          <w:left w:val="single" w:sz="4" w:space="4" w:color="auto"/>
          <w:bottom w:val="single" w:sz="4" w:space="1" w:color="auto"/>
          <w:right w:val="single" w:sz="4" w:space="4" w:color="auto"/>
        </w:pBdr>
        <w:spacing w:after="360"/>
        <w:ind w:left="0"/>
        <w:jc w:val="both"/>
        <w:rPr>
          <w:rFonts w:asciiTheme="majorHAnsi" w:hAnsiTheme="majorHAnsi"/>
          <w:sz w:val="24"/>
          <w:szCs w:val="24"/>
          <w:lang w:val="bg-BG"/>
        </w:rPr>
      </w:pPr>
      <w:r w:rsidRPr="00475D2B">
        <w:rPr>
          <w:rFonts w:asciiTheme="majorHAnsi" w:hAnsiTheme="majorHAnsi"/>
          <w:sz w:val="24"/>
          <w:szCs w:val="24"/>
          <w:lang w:val="bg-BG"/>
        </w:rPr>
        <w:t xml:space="preserve">Пълният набор от мерки за информиране и публичност (визуализация), които бенефициентите трябва да прилагат при изпълнение на проекти, финансирани от ЕСИФ, се съдържа в „Единния наръчник на бенефициента за прилагане на правилата за информация и комуникация" 2014-2020, който може да бъде намерен на интернет страницата на Управляващия орган - </w:t>
      </w:r>
      <w:hyperlink r:id="rId14" w:history="1">
        <w:r w:rsidRPr="00475D2B">
          <w:rPr>
            <w:rStyle w:val="ad"/>
            <w:rFonts w:asciiTheme="majorHAnsi" w:eastAsia="MS Gothic" w:hAnsiTheme="majorHAnsi"/>
            <w:sz w:val="24"/>
            <w:szCs w:val="24"/>
            <w:lang w:val="bg-BG"/>
          </w:rPr>
          <w:t>http://opic.bg/informatsiya-i-publichnost/grafichni-iziskvaniya</w:t>
        </w:r>
      </w:hyperlink>
      <w:r w:rsidRPr="00475D2B">
        <w:rPr>
          <w:rFonts w:asciiTheme="majorHAnsi" w:hAnsiTheme="majorHAnsi"/>
          <w:sz w:val="24"/>
          <w:szCs w:val="24"/>
          <w:lang w:val="bg-BG"/>
        </w:rPr>
        <w:t>. На същата страница могат да бъдат намерени и векторните варианти на логото на ОПИК.</w:t>
      </w:r>
    </w:p>
    <w:p w:rsidR="005E640A" w:rsidRPr="00475D2B" w:rsidRDefault="005E640A" w:rsidP="005E640A">
      <w:pPr>
        <w:pStyle w:val="ae"/>
        <w:pBdr>
          <w:top w:val="single" w:sz="4" w:space="1" w:color="auto"/>
          <w:left w:val="single" w:sz="4" w:space="4" w:color="auto"/>
          <w:bottom w:val="single" w:sz="4" w:space="1" w:color="auto"/>
          <w:right w:val="single" w:sz="4" w:space="4" w:color="auto"/>
        </w:pBdr>
        <w:spacing w:after="360"/>
        <w:ind w:left="0"/>
        <w:jc w:val="both"/>
        <w:rPr>
          <w:rFonts w:asciiTheme="majorHAnsi" w:hAnsiTheme="majorHAnsi"/>
          <w:sz w:val="24"/>
          <w:szCs w:val="24"/>
          <w:lang w:val="bg-BG"/>
        </w:rPr>
      </w:pPr>
    </w:p>
    <w:p w:rsidR="005E640A" w:rsidRPr="00475D2B" w:rsidRDefault="005E640A" w:rsidP="005E640A">
      <w:pPr>
        <w:pStyle w:val="ae"/>
        <w:pBdr>
          <w:top w:val="single" w:sz="4" w:space="1" w:color="auto"/>
          <w:left w:val="single" w:sz="4" w:space="4" w:color="auto"/>
          <w:bottom w:val="single" w:sz="4" w:space="1" w:color="auto"/>
          <w:right w:val="single" w:sz="4" w:space="4" w:color="auto"/>
        </w:pBdr>
        <w:spacing w:after="360"/>
        <w:ind w:left="0"/>
        <w:jc w:val="both"/>
        <w:rPr>
          <w:rFonts w:asciiTheme="majorHAnsi" w:hAnsiTheme="majorHAnsi"/>
          <w:b/>
          <w:sz w:val="24"/>
          <w:szCs w:val="24"/>
          <w:lang w:val="bg-BG"/>
        </w:rPr>
      </w:pPr>
      <w:r w:rsidRPr="00475D2B">
        <w:rPr>
          <w:rFonts w:asciiTheme="majorHAnsi" w:hAnsiTheme="majorHAnsi"/>
          <w:b/>
          <w:sz w:val="24"/>
          <w:szCs w:val="24"/>
          <w:lang w:val="bg-BG"/>
        </w:rPr>
        <w:t xml:space="preserve">ВАЖНО: </w:t>
      </w:r>
      <w:r w:rsidRPr="00475D2B">
        <w:rPr>
          <w:rFonts w:asciiTheme="majorHAnsi" w:hAnsiTheme="majorHAnsi"/>
          <w:sz w:val="24"/>
          <w:szCs w:val="24"/>
          <w:lang w:val="bg-BG"/>
        </w:rPr>
        <w:t>Неспазването на правилата за информиране и публичност (визуализация)може да доведе до непризнаване на част или на цялата стойност на извършените по проекта разходи.</w:t>
      </w:r>
    </w:p>
    <w:p w:rsidR="005E640A" w:rsidRPr="00475D2B" w:rsidRDefault="005E640A" w:rsidP="005E640A">
      <w:pPr>
        <w:keepNext/>
        <w:keepLines/>
        <w:spacing w:before="200"/>
        <w:outlineLvl w:val="1"/>
        <w:rPr>
          <w:rFonts w:asciiTheme="majorHAnsi" w:hAnsiTheme="majorHAnsi"/>
          <w:b/>
          <w:bCs/>
          <w:color w:val="5B9BD5"/>
          <w:sz w:val="24"/>
          <w:szCs w:val="24"/>
          <w:lang w:val="bg-BG"/>
        </w:rPr>
      </w:pPr>
      <w:bookmarkStart w:id="3" w:name="_Toc442274579"/>
      <w:bookmarkStart w:id="4" w:name="_Toc442348060"/>
      <w:r w:rsidRPr="00475D2B">
        <w:rPr>
          <w:rFonts w:asciiTheme="majorHAnsi" w:hAnsiTheme="majorHAnsi"/>
          <w:b/>
          <w:bCs/>
          <w:color w:val="5B9BD5"/>
          <w:sz w:val="24"/>
          <w:szCs w:val="24"/>
          <w:lang w:val="bg-BG"/>
        </w:rPr>
        <w:t>4. Приложения към Условията за изпълнение:</w:t>
      </w:r>
      <w:bookmarkEnd w:id="3"/>
      <w:bookmarkEnd w:id="4"/>
    </w:p>
    <w:p w:rsidR="005E640A" w:rsidRPr="00475D2B" w:rsidRDefault="005E640A" w:rsidP="005E640A">
      <w:pPr>
        <w:keepNext/>
        <w:keepLines/>
        <w:outlineLvl w:val="1"/>
        <w:rPr>
          <w:rFonts w:asciiTheme="majorHAnsi" w:hAnsiTheme="majorHAnsi"/>
          <w:b/>
          <w:bCs/>
          <w:color w:val="5B9BD5"/>
          <w:sz w:val="24"/>
          <w:szCs w:val="24"/>
          <w:lang w:val="bg-BG"/>
        </w:rPr>
      </w:pPr>
    </w:p>
    <w:p w:rsidR="00850DCC" w:rsidRPr="00475D2B" w:rsidRDefault="00850DCC" w:rsidP="00850DCC">
      <w:pPr>
        <w:pBdr>
          <w:top w:val="single" w:sz="4" w:space="1" w:color="auto"/>
          <w:left w:val="single" w:sz="4" w:space="4" w:color="auto"/>
          <w:bottom w:val="single" w:sz="4" w:space="1" w:color="auto"/>
          <w:right w:val="single" w:sz="4" w:space="4" w:color="auto"/>
        </w:pBdr>
        <w:spacing w:after="360"/>
        <w:ind w:firstLine="709"/>
        <w:contextualSpacing/>
        <w:jc w:val="both"/>
        <w:rPr>
          <w:rFonts w:asciiTheme="majorHAnsi" w:hAnsiTheme="majorHAnsi"/>
          <w:sz w:val="24"/>
          <w:szCs w:val="24"/>
          <w:lang w:val="bg-BG"/>
        </w:rPr>
      </w:pPr>
      <w:r w:rsidRPr="00475D2B">
        <w:rPr>
          <w:rFonts w:asciiTheme="majorHAnsi" w:hAnsiTheme="majorHAnsi"/>
          <w:sz w:val="24"/>
          <w:szCs w:val="24"/>
          <w:lang w:val="bg-BG"/>
        </w:rPr>
        <w:t xml:space="preserve">Административен договор за безвъзмездна финансова помощ по Оперативна програма „Иновации и конкурентоспособност” 2014-2020 </w:t>
      </w:r>
    </w:p>
    <w:p w:rsidR="005E640A" w:rsidRPr="00475D2B" w:rsidRDefault="005E640A" w:rsidP="00850DCC">
      <w:pPr>
        <w:pBdr>
          <w:top w:val="single" w:sz="4" w:space="1" w:color="auto"/>
          <w:left w:val="single" w:sz="4" w:space="4" w:color="auto"/>
          <w:bottom w:val="single" w:sz="4" w:space="1" w:color="auto"/>
          <w:right w:val="single" w:sz="4" w:space="4" w:color="auto"/>
        </w:pBdr>
        <w:spacing w:after="360"/>
        <w:ind w:firstLine="709"/>
        <w:contextualSpacing/>
        <w:jc w:val="both"/>
        <w:rPr>
          <w:rFonts w:asciiTheme="majorHAnsi" w:hAnsiTheme="majorHAnsi"/>
          <w:sz w:val="24"/>
          <w:szCs w:val="24"/>
          <w:lang w:val="bg-BG"/>
        </w:rPr>
      </w:pPr>
      <w:r w:rsidRPr="00475D2B">
        <w:rPr>
          <w:rFonts w:asciiTheme="majorHAnsi" w:hAnsiTheme="majorHAnsi"/>
          <w:sz w:val="24"/>
          <w:szCs w:val="24"/>
          <w:lang w:val="bg-BG"/>
        </w:rPr>
        <w:t>Декларация за съгласие данните на кандидата да бъдат предоставени от НСИ на УО по служебен път - Приложение Л;</w:t>
      </w:r>
    </w:p>
    <w:p w:rsidR="005E640A" w:rsidRPr="00475D2B" w:rsidRDefault="005E640A" w:rsidP="00850DCC">
      <w:pPr>
        <w:pBdr>
          <w:top w:val="single" w:sz="4" w:space="1" w:color="auto"/>
          <w:left w:val="single" w:sz="4" w:space="4" w:color="auto"/>
          <w:bottom w:val="single" w:sz="4" w:space="1" w:color="auto"/>
          <w:right w:val="single" w:sz="4" w:space="4" w:color="auto"/>
        </w:pBdr>
        <w:spacing w:after="360"/>
        <w:ind w:firstLine="709"/>
        <w:contextualSpacing/>
        <w:jc w:val="both"/>
        <w:rPr>
          <w:rFonts w:asciiTheme="majorHAnsi" w:hAnsiTheme="majorHAnsi"/>
          <w:sz w:val="24"/>
          <w:szCs w:val="24"/>
          <w:lang w:val="bg-BG"/>
        </w:rPr>
      </w:pPr>
      <w:r w:rsidRPr="00475D2B">
        <w:rPr>
          <w:rFonts w:asciiTheme="majorHAnsi" w:hAnsiTheme="majorHAnsi"/>
          <w:sz w:val="24"/>
          <w:szCs w:val="24"/>
          <w:lang w:val="bg-BG"/>
        </w:rPr>
        <w:t>Общи условия към финансираните по Оперативна програма “Иновации и конкурентоспособност” 2014-2020 административни договори за предоставяне на безвъзмездна финансова помощ – Приложение Н;</w:t>
      </w:r>
    </w:p>
    <w:p w:rsidR="005E640A" w:rsidRPr="00475D2B" w:rsidRDefault="005E640A" w:rsidP="00850DCC">
      <w:pPr>
        <w:pBdr>
          <w:top w:val="single" w:sz="4" w:space="1" w:color="auto"/>
          <w:left w:val="single" w:sz="4" w:space="4" w:color="auto"/>
          <w:bottom w:val="single" w:sz="4" w:space="1" w:color="auto"/>
          <w:right w:val="single" w:sz="4" w:space="4" w:color="auto"/>
        </w:pBdr>
        <w:spacing w:after="360"/>
        <w:ind w:firstLine="709"/>
        <w:contextualSpacing/>
        <w:jc w:val="both"/>
        <w:rPr>
          <w:rFonts w:asciiTheme="majorHAnsi" w:hAnsiTheme="majorHAnsi"/>
          <w:sz w:val="24"/>
          <w:szCs w:val="24"/>
          <w:lang w:val="bg-BG"/>
        </w:rPr>
      </w:pPr>
      <w:r w:rsidRPr="00475D2B">
        <w:rPr>
          <w:rFonts w:asciiTheme="majorHAnsi" w:hAnsiTheme="majorHAnsi"/>
          <w:sz w:val="24"/>
          <w:szCs w:val="24"/>
          <w:lang w:val="bg-BG"/>
        </w:rPr>
        <w:t>Декларация за нередности – Приложение О;</w:t>
      </w:r>
    </w:p>
    <w:p w:rsidR="005E640A" w:rsidRPr="00475D2B" w:rsidRDefault="005E640A" w:rsidP="00850DCC">
      <w:pPr>
        <w:pBdr>
          <w:top w:val="single" w:sz="4" w:space="1" w:color="auto"/>
          <w:left w:val="single" w:sz="4" w:space="4" w:color="auto"/>
          <w:bottom w:val="single" w:sz="4" w:space="1" w:color="auto"/>
          <w:right w:val="single" w:sz="4" w:space="4" w:color="auto"/>
        </w:pBdr>
        <w:spacing w:after="360"/>
        <w:ind w:firstLine="709"/>
        <w:contextualSpacing/>
        <w:jc w:val="both"/>
        <w:rPr>
          <w:rFonts w:asciiTheme="majorHAnsi" w:hAnsiTheme="majorHAnsi"/>
          <w:sz w:val="24"/>
          <w:szCs w:val="24"/>
          <w:lang w:val="bg-BG"/>
        </w:rPr>
      </w:pPr>
      <w:r w:rsidRPr="00475D2B">
        <w:rPr>
          <w:rFonts w:asciiTheme="majorHAnsi" w:hAnsiTheme="majorHAnsi"/>
          <w:sz w:val="24"/>
          <w:szCs w:val="24"/>
          <w:lang w:val="bg-BG"/>
        </w:rPr>
        <w:t>Банкова гаранция - Приложение П;</w:t>
      </w:r>
    </w:p>
    <w:p w:rsidR="005E640A" w:rsidRPr="00475D2B" w:rsidRDefault="005E640A" w:rsidP="00850DCC">
      <w:pPr>
        <w:pBdr>
          <w:top w:val="single" w:sz="4" w:space="1" w:color="auto"/>
          <w:left w:val="single" w:sz="4" w:space="4" w:color="auto"/>
          <w:bottom w:val="single" w:sz="4" w:space="1" w:color="auto"/>
          <w:right w:val="single" w:sz="4" w:space="4" w:color="auto"/>
        </w:pBdr>
        <w:spacing w:after="360"/>
        <w:ind w:firstLine="709"/>
        <w:contextualSpacing/>
        <w:jc w:val="both"/>
        <w:rPr>
          <w:rFonts w:asciiTheme="majorHAnsi" w:hAnsiTheme="majorHAnsi"/>
          <w:sz w:val="24"/>
          <w:szCs w:val="24"/>
          <w:lang w:val="bg-BG"/>
        </w:rPr>
      </w:pPr>
      <w:r w:rsidRPr="00475D2B">
        <w:rPr>
          <w:rFonts w:asciiTheme="majorHAnsi" w:hAnsiTheme="majorHAnsi"/>
          <w:sz w:val="24"/>
          <w:szCs w:val="24"/>
          <w:lang w:val="bg-BG"/>
        </w:rPr>
        <w:t xml:space="preserve">Заявление за профил за достъп на ръководител на бенефициента до ИСУН 2020 – Приложение </w:t>
      </w:r>
      <w:r w:rsidR="00850DCC" w:rsidRPr="00475D2B">
        <w:rPr>
          <w:rFonts w:asciiTheme="majorHAnsi" w:hAnsiTheme="majorHAnsi"/>
          <w:sz w:val="24"/>
          <w:szCs w:val="24"/>
          <w:lang w:val="bg-BG"/>
        </w:rPr>
        <w:t>Ф</w:t>
      </w:r>
      <w:r w:rsidRPr="00475D2B">
        <w:rPr>
          <w:rFonts w:asciiTheme="majorHAnsi" w:hAnsiTheme="majorHAnsi"/>
          <w:sz w:val="24"/>
          <w:szCs w:val="24"/>
          <w:lang w:val="bg-BG"/>
        </w:rPr>
        <w:t>;</w:t>
      </w:r>
    </w:p>
    <w:p w:rsidR="005E640A" w:rsidRPr="00475D2B" w:rsidRDefault="005E640A" w:rsidP="00850DCC">
      <w:pPr>
        <w:pBdr>
          <w:top w:val="single" w:sz="4" w:space="1" w:color="auto"/>
          <w:left w:val="single" w:sz="4" w:space="4" w:color="auto"/>
          <w:bottom w:val="single" w:sz="4" w:space="1" w:color="auto"/>
          <w:right w:val="single" w:sz="4" w:space="4" w:color="auto"/>
        </w:pBdr>
        <w:spacing w:after="360"/>
        <w:ind w:firstLine="709"/>
        <w:contextualSpacing/>
        <w:jc w:val="both"/>
        <w:rPr>
          <w:rFonts w:asciiTheme="majorHAnsi" w:hAnsiTheme="majorHAnsi"/>
          <w:sz w:val="24"/>
          <w:szCs w:val="24"/>
          <w:lang w:val="bg-BG"/>
        </w:rPr>
      </w:pPr>
      <w:r w:rsidRPr="00475D2B">
        <w:rPr>
          <w:rFonts w:asciiTheme="majorHAnsi" w:hAnsiTheme="majorHAnsi"/>
          <w:sz w:val="24"/>
          <w:szCs w:val="24"/>
          <w:lang w:val="bg-BG"/>
        </w:rPr>
        <w:t>Заявление за профил за достъп на упълномощени от бенефициента лица до ИСУН 2020 – Приложение С;</w:t>
      </w:r>
    </w:p>
    <w:p w:rsidR="005E640A" w:rsidRPr="00475D2B" w:rsidRDefault="00850DCC" w:rsidP="005E640A">
      <w:pPr>
        <w:pBdr>
          <w:top w:val="single" w:sz="4" w:space="1" w:color="auto"/>
          <w:left w:val="single" w:sz="4" w:space="4" w:color="auto"/>
          <w:bottom w:val="single" w:sz="4" w:space="1" w:color="auto"/>
          <w:right w:val="single" w:sz="4" w:space="4" w:color="auto"/>
        </w:pBdr>
        <w:spacing w:after="360"/>
        <w:contextualSpacing/>
        <w:jc w:val="both"/>
        <w:rPr>
          <w:rFonts w:asciiTheme="majorHAnsi" w:hAnsiTheme="majorHAnsi"/>
          <w:sz w:val="24"/>
          <w:szCs w:val="24"/>
          <w:lang w:val="bg-BG"/>
        </w:rPr>
      </w:pPr>
      <w:r w:rsidRPr="00475D2B">
        <w:rPr>
          <w:rFonts w:asciiTheme="majorHAnsi" w:hAnsiTheme="majorHAnsi"/>
          <w:sz w:val="24"/>
          <w:szCs w:val="24"/>
          <w:lang w:val="bg-BG"/>
        </w:rPr>
        <w:t xml:space="preserve">            </w:t>
      </w:r>
      <w:r w:rsidR="005E640A" w:rsidRPr="00475D2B">
        <w:rPr>
          <w:rFonts w:asciiTheme="majorHAnsi" w:hAnsiTheme="majorHAnsi"/>
          <w:sz w:val="24"/>
          <w:szCs w:val="24"/>
          <w:lang w:val="bg-BG"/>
        </w:rPr>
        <w:t>ДНФ № 3/23.12.2016 на Министерство на финансите относно третиране на ДДС (Приложение Т).</w:t>
      </w:r>
    </w:p>
    <w:p w:rsidR="005E640A" w:rsidRPr="00475D2B" w:rsidRDefault="005E640A" w:rsidP="005E640A">
      <w:pPr>
        <w:rPr>
          <w:rFonts w:asciiTheme="majorHAnsi" w:hAnsiTheme="majorHAnsi"/>
          <w:sz w:val="24"/>
          <w:szCs w:val="24"/>
          <w:lang w:val="bg-BG"/>
        </w:rPr>
      </w:pPr>
    </w:p>
    <w:p w:rsidR="005E640A" w:rsidRPr="00475D2B" w:rsidRDefault="005E640A" w:rsidP="005E640A">
      <w:pPr>
        <w:jc w:val="center"/>
        <w:rPr>
          <w:rFonts w:asciiTheme="majorHAnsi" w:hAnsiTheme="majorHAnsi"/>
          <w:sz w:val="24"/>
          <w:szCs w:val="24"/>
          <w:lang w:val="bg-BG" w:eastAsia="en-US"/>
        </w:rPr>
      </w:pPr>
    </w:p>
    <w:sectPr w:rsidR="005E640A" w:rsidRPr="00475D2B" w:rsidSect="005E640A">
      <w:pgSz w:w="11907" w:h="16840" w:code="9"/>
      <w:pgMar w:top="1418" w:right="708" w:bottom="1276" w:left="1560" w:header="142" w:footer="194"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3943" w:rsidRDefault="00A73943" w:rsidP="009B6571">
      <w:r>
        <w:separator/>
      </w:r>
    </w:p>
  </w:endnote>
  <w:endnote w:type="continuationSeparator" w:id="1">
    <w:p w:rsidR="00A73943" w:rsidRDefault="00A73943" w:rsidP="009B657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i/>
        <w:sz w:val="24"/>
        <w:szCs w:val="24"/>
      </w:rPr>
      <w:id w:val="173793969"/>
      <w:docPartObj>
        <w:docPartGallery w:val="Page Numbers (Bottom of Page)"/>
        <w:docPartUnique/>
      </w:docPartObj>
    </w:sdtPr>
    <w:sdtContent>
      <w:p w:rsidR="00B907A1" w:rsidRPr="00FD1FBA" w:rsidRDefault="00B907A1" w:rsidP="00B907A1">
        <w:pPr>
          <w:pStyle w:val="a6"/>
          <w:pBdr>
            <w:top w:val="single" w:sz="4" w:space="1" w:color="auto"/>
          </w:pBdr>
          <w:ind w:firstLine="3969"/>
          <w:rPr>
            <w:rFonts w:asciiTheme="majorHAnsi" w:hAnsiTheme="majorHAnsi"/>
            <w:i/>
            <w:lang w:val="ru-RU"/>
          </w:rPr>
        </w:pPr>
        <w:r w:rsidRPr="00FD1FBA">
          <w:rPr>
            <w:rFonts w:asciiTheme="majorHAnsi" w:hAnsiTheme="majorHAnsi"/>
            <w:i/>
            <w:lang w:val="ru-RU"/>
          </w:rPr>
          <w:t xml:space="preserve">Златоград 4980,  ул. Стефан Стамболов 1 </w:t>
        </w:r>
      </w:p>
      <w:p w:rsidR="00B907A1" w:rsidRPr="00916426" w:rsidRDefault="00B907A1" w:rsidP="00B907A1">
        <w:pPr>
          <w:pStyle w:val="a6"/>
          <w:ind w:firstLine="3969"/>
          <w:rPr>
            <w:rFonts w:asciiTheme="majorHAnsi" w:hAnsiTheme="majorHAnsi"/>
            <w:i/>
            <w:lang w:val="ru-RU"/>
          </w:rPr>
        </w:pPr>
        <w:r w:rsidRPr="00FD1FBA">
          <w:rPr>
            <w:rFonts w:asciiTheme="majorHAnsi" w:hAnsiTheme="majorHAnsi"/>
            <w:i/>
            <w:lang w:val="ru-RU"/>
          </w:rPr>
          <w:t xml:space="preserve">тел. 03071 4205  ел.поща: </w:t>
        </w:r>
        <w:r w:rsidRPr="00916426">
          <w:rPr>
            <w:rFonts w:asciiTheme="majorHAnsi" w:hAnsiTheme="majorHAnsi"/>
            <w:i/>
          </w:rPr>
          <w:t>mig</w:t>
        </w:r>
        <w:r w:rsidRPr="00FD1FBA">
          <w:rPr>
            <w:rFonts w:asciiTheme="majorHAnsi" w:hAnsiTheme="majorHAnsi"/>
            <w:i/>
            <w:lang w:val="ru-RU"/>
          </w:rPr>
          <w:t>-</w:t>
        </w:r>
        <w:r w:rsidRPr="00916426">
          <w:rPr>
            <w:rFonts w:asciiTheme="majorHAnsi" w:hAnsiTheme="majorHAnsi"/>
            <w:i/>
          </w:rPr>
          <w:t>zlatograd</w:t>
        </w:r>
        <w:r w:rsidRPr="00FD1FBA">
          <w:rPr>
            <w:rFonts w:asciiTheme="majorHAnsi" w:hAnsiTheme="majorHAnsi"/>
            <w:i/>
            <w:lang w:val="ru-RU"/>
          </w:rPr>
          <w:t>-</w:t>
        </w:r>
        <w:r w:rsidRPr="00916426">
          <w:rPr>
            <w:rFonts w:asciiTheme="majorHAnsi" w:hAnsiTheme="majorHAnsi"/>
            <w:i/>
          </w:rPr>
          <w:t>kirkovo</w:t>
        </w:r>
        <w:r w:rsidRPr="00916426">
          <w:rPr>
            <w:rFonts w:asciiTheme="majorHAnsi" w:hAnsiTheme="majorHAnsi"/>
            <w:i/>
            <w:lang w:val="ru-RU"/>
          </w:rPr>
          <w:t>@</w:t>
        </w:r>
        <w:r w:rsidRPr="00916426">
          <w:rPr>
            <w:rFonts w:asciiTheme="majorHAnsi" w:hAnsiTheme="majorHAnsi"/>
            <w:i/>
          </w:rPr>
          <w:t>abv</w:t>
        </w:r>
        <w:r w:rsidRPr="00916426">
          <w:rPr>
            <w:rFonts w:asciiTheme="majorHAnsi" w:hAnsiTheme="majorHAnsi"/>
            <w:i/>
            <w:lang w:val="ru-RU"/>
          </w:rPr>
          <w:t>.</w:t>
        </w:r>
        <w:r w:rsidRPr="00916426">
          <w:rPr>
            <w:rFonts w:asciiTheme="majorHAnsi" w:hAnsiTheme="majorHAnsi"/>
            <w:i/>
          </w:rPr>
          <w:t>bg</w:t>
        </w:r>
      </w:p>
      <w:p w:rsidR="00B907A1" w:rsidRPr="00FD1FBA" w:rsidRDefault="00B907A1" w:rsidP="00B907A1">
        <w:pPr>
          <w:pStyle w:val="a6"/>
          <w:rPr>
            <w:rFonts w:asciiTheme="majorHAnsi" w:hAnsiTheme="majorHAnsi"/>
            <w:i/>
            <w:sz w:val="24"/>
            <w:lang w:val="ru-RU"/>
          </w:rPr>
        </w:pPr>
        <w:r w:rsidRPr="00916426">
          <w:rPr>
            <w:rFonts w:asciiTheme="majorHAnsi" w:hAnsiTheme="majorHAnsi"/>
            <w:b/>
            <w:i/>
            <w:sz w:val="24"/>
          </w:rPr>
          <w:t>www</w:t>
        </w:r>
        <w:r w:rsidRPr="00FD1FBA">
          <w:rPr>
            <w:rFonts w:asciiTheme="majorHAnsi" w:hAnsiTheme="majorHAnsi"/>
            <w:b/>
            <w:i/>
            <w:sz w:val="24"/>
            <w:lang w:val="ru-RU"/>
          </w:rPr>
          <w:t>.</w:t>
        </w:r>
        <w:r w:rsidRPr="00916426">
          <w:rPr>
            <w:rFonts w:asciiTheme="majorHAnsi" w:hAnsiTheme="majorHAnsi"/>
            <w:b/>
            <w:i/>
            <w:sz w:val="24"/>
          </w:rPr>
          <w:t>mig</w:t>
        </w:r>
        <w:r w:rsidRPr="00FD1FBA">
          <w:rPr>
            <w:rFonts w:asciiTheme="majorHAnsi" w:hAnsiTheme="majorHAnsi"/>
            <w:b/>
            <w:i/>
            <w:sz w:val="24"/>
            <w:lang w:val="ru-RU"/>
          </w:rPr>
          <w:t>-</w:t>
        </w:r>
        <w:r w:rsidRPr="00916426">
          <w:rPr>
            <w:rFonts w:asciiTheme="majorHAnsi" w:hAnsiTheme="majorHAnsi"/>
            <w:b/>
            <w:i/>
            <w:sz w:val="24"/>
          </w:rPr>
          <w:t>kirkovo</w:t>
        </w:r>
        <w:r w:rsidRPr="00FD1FBA">
          <w:rPr>
            <w:rFonts w:asciiTheme="majorHAnsi" w:hAnsiTheme="majorHAnsi"/>
            <w:b/>
            <w:i/>
            <w:sz w:val="24"/>
            <w:lang w:val="ru-RU"/>
          </w:rPr>
          <w:t>-</w:t>
        </w:r>
        <w:r w:rsidRPr="00916426">
          <w:rPr>
            <w:rFonts w:asciiTheme="majorHAnsi" w:hAnsiTheme="majorHAnsi"/>
            <w:b/>
            <w:i/>
            <w:sz w:val="24"/>
          </w:rPr>
          <w:t>zlatograd</w:t>
        </w:r>
        <w:r w:rsidRPr="00FD1FBA">
          <w:rPr>
            <w:rFonts w:asciiTheme="majorHAnsi" w:hAnsiTheme="majorHAnsi"/>
            <w:b/>
            <w:i/>
            <w:sz w:val="24"/>
            <w:lang w:val="ru-RU"/>
          </w:rPr>
          <w:t>.</w:t>
        </w:r>
        <w:r w:rsidRPr="00916426">
          <w:rPr>
            <w:rFonts w:asciiTheme="majorHAnsi" w:hAnsiTheme="majorHAnsi"/>
            <w:b/>
            <w:i/>
            <w:sz w:val="24"/>
          </w:rPr>
          <w:t>com</w:t>
        </w:r>
        <w:r w:rsidRPr="00FD1FBA">
          <w:rPr>
            <w:rFonts w:asciiTheme="majorHAnsi" w:hAnsiTheme="majorHAnsi"/>
            <w:i/>
            <w:sz w:val="24"/>
            <w:lang w:val="ru-RU"/>
          </w:rPr>
          <w:tab/>
        </w:r>
        <w:r w:rsidRPr="00FD1FBA">
          <w:rPr>
            <w:rFonts w:asciiTheme="majorHAnsi" w:hAnsiTheme="majorHAnsi"/>
            <w:i/>
            <w:sz w:val="24"/>
            <w:lang w:val="ru-RU"/>
          </w:rPr>
          <w:tab/>
          <w:t xml:space="preserve">                ~ </w:t>
        </w:r>
        <w:r w:rsidR="00E350B9" w:rsidRPr="00F86C36">
          <w:rPr>
            <w:rFonts w:asciiTheme="majorHAnsi" w:hAnsiTheme="majorHAnsi"/>
            <w:i/>
            <w:sz w:val="24"/>
            <w:lang w:val="ru-RU"/>
          </w:rPr>
          <w:fldChar w:fldCharType="begin"/>
        </w:r>
        <w:r w:rsidRPr="00F86C36">
          <w:rPr>
            <w:rFonts w:asciiTheme="majorHAnsi" w:hAnsiTheme="majorHAnsi"/>
            <w:i/>
            <w:sz w:val="24"/>
            <w:lang w:val="ru-RU"/>
          </w:rPr>
          <w:instrText>PAGE</w:instrText>
        </w:r>
        <w:r w:rsidRPr="00FD1FBA">
          <w:rPr>
            <w:rFonts w:asciiTheme="majorHAnsi" w:hAnsiTheme="majorHAnsi"/>
            <w:i/>
            <w:sz w:val="24"/>
            <w:lang w:val="ru-RU"/>
          </w:rPr>
          <w:instrText xml:space="preserve">    \* </w:instrText>
        </w:r>
        <w:r w:rsidRPr="00F86C36">
          <w:rPr>
            <w:rFonts w:asciiTheme="majorHAnsi" w:hAnsiTheme="majorHAnsi"/>
            <w:i/>
            <w:sz w:val="24"/>
            <w:lang w:val="ru-RU"/>
          </w:rPr>
          <w:instrText>MERGEFORMAT</w:instrText>
        </w:r>
        <w:r w:rsidR="00E350B9" w:rsidRPr="00F86C36">
          <w:rPr>
            <w:rFonts w:asciiTheme="majorHAnsi" w:hAnsiTheme="majorHAnsi"/>
            <w:i/>
            <w:sz w:val="24"/>
            <w:lang w:val="ru-RU"/>
          </w:rPr>
          <w:fldChar w:fldCharType="separate"/>
        </w:r>
        <w:r w:rsidR="006253BA" w:rsidRPr="006253BA">
          <w:rPr>
            <w:rFonts w:asciiTheme="majorHAnsi" w:hAnsiTheme="majorHAnsi"/>
            <w:i/>
            <w:noProof/>
            <w:sz w:val="24"/>
            <w:lang w:val="bg-BG"/>
          </w:rPr>
          <w:t>1</w:t>
        </w:r>
        <w:r w:rsidR="00E350B9" w:rsidRPr="00F86C36">
          <w:rPr>
            <w:rFonts w:asciiTheme="majorHAnsi" w:hAnsiTheme="majorHAnsi"/>
            <w:i/>
            <w:sz w:val="24"/>
            <w:lang w:val="ru-RU"/>
          </w:rPr>
          <w:fldChar w:fldCharType="end"/>
        </w:r>
        <w:r w:rsidRPr="00FD1FBA">
          <w:rPr>
            <w:rFonts w:asciiTheme="majorHAnsi" w:hAnsiTheme="majorHAnsi"/>
            <w:i/>
            <w:sz w:val="24"/>
            <w:lang w:val="ru-RU"/>
          </w:rPr>
          <w:t xml:space="preserve"> ~</w:t>
        </w:r>
      </w:p>
      <w:p w:rsidR="00B907A1" w:rsidRPr="00B907A1" w:rsidRDefault="00E350B9" w:rsidP="00B907A1">
        <w:pPr>
          <w:pStyle w:val="a6"/>
          <w:rPr>
            <w:rFonts w:asciiTheme="majorHAnsi" w:hAnsiTheme="majorHAnsi"/>
            <w:i/>
            <w:sz w:val="24"/>
            <w:szCs w:val="24"/>
          </w:rP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3943" w:rsidRDefault="00A73943" w:rsidP="009B6571">
      <w:r>
        <w:separator/>
      </w:r>
    </w:p>
  </w:footnote>
  <w:footnote w:type="continuationSeparator" w:id="1">
    <w:p w:rsidR="00A73943" w:rsidRDefault="00A73943" w:rsidP="009B6571">
      <w:r>
        <w:continuationSeparator/>
      </w:r>
    </w:p>
  </w:footnote>
  <w:footnote w:id="2">
    <w:p w:rsidR="005E640A" w:rsidRPr="00496D25" w:rsidRDefault="005E640A" w:rsidP="005E640A">
      <w:pPr>
        <w:pStyle w:val="af0"/>
        <w:tabs>
          <w:tab w:val="left" w:pos="1830"/>
        </w:tabs>
        <w:jc w:val="both"/>
        <w:rPr>
          <w:lang w:val="ru-RU"/>
        </w:rPr>
      </w:pPr>
      <w:r>
        <w:rPr>
          <w:rStyle w:val="af2"/>
        </w:rPr>
        <w:footnoteRef/>
      </w:r>
      <w:r w:rsidRPr="00496D25">
        <w:rPr>
          <w:lang w:val="ru-RU"/>
        </w:rPr>
        <w:t xml:space="preserve"> При междинно/окончателно плащане се извършва проверка</w:t>
      </w:r>
      <w:r w:rsidRPr="00496D25">
        <w:rPr>
          <w:bCs/>
          <w:lang w:val="ru-RU" w:eastAsia="fr-FR"/>
        </w:rPr>
        <w:t xml:space="preserve"> дали сконтираната стойност на безвъзмездната помощ към сконтираната стойност на допустимите разходи е в рамките на допустимия интензитет при прилагане на следната формула:</w:t>
      </w:r>
      <w:r w:rsidRPr="00496D25">
        <w:rPr>
          <w:lang w:val="ru-RU"/>
        </w:rPr>
        <w:t xml:space="preserve"> </w:t>
      </w:r>
      <w:r w:rsidRPr="004B48C5">
        <w:rPr>
          <w:bCs/>
          <w:lang w:eastAsia="fr-FR"/>
        </w:rPr>
        <w:t>PV</w:t>
      </w:r>
      <w:r w:rsidRPr="00496D25">
        <w:rPr>
          <w:bCs/>
          <w:lang w:val="ru-RU" w:eastAsia="fr-FR"/>
        </w:rPr>
        <w:t xml:space="preserve"> = </w:t>
      </w:r>
      <w:r w:rsidRPr="004B48C5">
        <w:rPr>
          <w:bCs/>
          <w:lang w:eastAsia="fr-FR"/>
        </w:rPr>
        <w:t>FV</w:t>
      </w:r>
      <w:r w:rsidRPr="00496D25">
        <w:rPr>
          <w:bCs/>
          <w:lang w:val="ru-RU" w:eastAsia="fr-FR"/>
        </w:rPr>
        <w:t>/(1+</w:t>
      </w:r>
      <w:r w:rsidRPr="004B48C5">
        <w:rPr>
          <w:bCs/>
          <w:lang w:eastAsia="fr-FR"/>
        </w:rPr>
        <w:t>i</w:t>
      </w:r>
      <w:r w:rsidRPr="00496D25">
        <w:rPr>
          <w:bCs/>
          <w:lang w:val="ru-RU" w:eastAsia="fr-FR"/>
        </w:rPr>
        <w:t>)</w:t>
      </w:r>
      <w:r w:rsidRPr="001A0131">
        <w:rPr>
          <w:bCs/>
          <w:vertAlign w:val="superscript"/>
          <w:lang w:eastAsia="fr-FR"/>
        </w:rPr>
        <w:t>t</w:t>
      </w:r>
      <w:r w:rsidRPr="00496D25">
        <w:rPr>
          <w:bCs/>
          <w:lang w:val="ru-RU" w:eastAsia="fr-FR"/>
        </w:rPr>
        <w:t xml:space="preserve"> , където </w:t>
      </w:r>
      <w:r w:rsidRPr="004B48C5">
        <w:rPr>
          <w:bCs/>
          <w:lang w:eastAsia="fr-FR"/>
        </w:rPr>
        <w:t>PV</w:t>
      </w:r>
      <w:r w:rsidRPr="00496D25">
        <w:rPr>
          <w:bCs/>
          <w:lang w:val="ru-RU" w:eastAsia="fr-FR"/>
        </w:rPr>
        <w:t xml:space="preserve"> е сконтирана стойност, </w:t>
      </w:r>
      <w:r w:rsidRPr="004B48C5">
        <w:rPr>
          <w:bCs/>
          <w:lang w:eastAsia="fr-FR"/>
        </w:rPr>
        <w:t>FV</w:t>
      </w:r>
      <w:r w:rsidRPr="00496D25">
        <w:rPr>
          <w:bCs/>
          <w:lang w:val="ru-RU" w:eastAsia="fr-FR"/>
        </w:rPr>
        <w:t xml:space="preserve"> е реална стойност,  </w:t>
      </w:r>
      <w:r w:rsidRPr="004B48C5">
        <w:rPr>
          <w:bCs/>
          <w:lang w:eastAsia="fr-FR"/>
        </w:rPr>
        <w:t>i</w:t>
      </w:r>
      <w:r w:rsidRPr="00496D25">
        <w:rPr>
          <w:bCs/>
          <w:lang w:val="ru-RU" w:eastAsia="fr-FR"/>
        </w:rPr>
        <w:t xml:space="preserve"> е лихвеният процент, а </w:t>
      </w:r>
      <w:r w:rsidRPr="004B48C5">
        <w:rPr>
          <w:bCs/>
          <w:lang w:eastAsia="fr-FR"/>
        </w:rPr>
        <w:t>t</w:t>
      </w:r>
      <w:r w:rsidRPr="00496D25">
        <w:rPr>
          <w:bCs/>
          <w:lang w:val="ru-RU" w:eastAsia="fr-FR"/>
        </w:rPr>
        <w:t xml:space="preserve"> – периода на изпълнение в години.</w:t>
      </w:r>
    </w:p>
    <w:p w:rsidR="005E640A" w:rsidRPr="00496D25" w:rsidRDefault="005E640A" w:rsidP="005E640A">
      <w:pPr>
        <w:pStyle w:val="af0"/>
        <w:tabs>
          <w:tab w:val="left" w:pos="1830"/>
        </w:tabs>
        <w:jc w:val="both"/>
        <w:rPr>
          <w:lang w:val="ru-RU"/>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6612D"/>
    <w:multiLevelType w:val="hybridMultilevel"/>
    <w:tmpl w:val="AC5851FA"/>
    <w:lvl w:ilvl="0" w:tplc="04020001">
      <w:start w:val="1"/>
      <w:numFmt w:val="bullet"/>
      <w:lvlText w:val=""/>
      <w:lvlJc w:val="left"/>
      <w:pPr>
        <w:ind w:left="1713" w:hanging="360"/>
      </w:pPr>
      <w:rPr>
        <w:rFonts w:ascii="Symbol" w:hAnsi="Symbol" w:hint="default"/>
      </w:rPr>
    </w:lvl>
    <w:lvl w:ilvl="1" w:tplc="04020003" w:tentative="1">
      <w:start w:val="1"/>
      <w:numFmt w:val="bullet"/>
      <w:lvlText w:val="o"/>
      <w:lvlJc w:val="left"/>
      <w:pPr>
        <w:ind w:left="2433" w:hanging="360"/>
      </w:pPr>
      <w:rPr>
        <w:rFonts w:ascii="Courier New" w:hAnsi="Courier New" w:cs="Courier New" w:hint="default"/>
      </w:rPr>
    </w:lvl>
    <w:lvl w:ilvl="2" w:tplc="04020005" w:tentative="1">
      <w:start w:val="1"/>
      <w:numFmt w:val="bullet"/>
      <w:lvlText w:val=""/>
      <w:lvlJc w:val="left"/>
      <w:pPr>
        <w:ind w:left="3153" w:hanging="360"/>
      </w:pPr>
      <w:rPr>
        <w:rFonts w:ascii="Wingdings" w:hAnsi="Wingdings" w:hint="default"/>
      </w:rPr>
    </w:lvl>
    <w:lvl w:ilvl="3" w:tplc="04020001" w:tentative="1">
      <w:start w:val="1"/>
      <w:numFmt w:val="bullet"/>
      <w:lvlText w:val=""/>
      <w:lvlJc w:val="left"/>
      <w:pPr>
        <w:ind w:left="3873" w:hanging="360"/>
      </w:pPr>
      <w:rPr>
        <w:rFonts w:ascii="Symbol" w:hAnsi="Symbol" w:hint="default"/>
      </w:rPr>
    </w:lvl>
    <w:lvl w:ilvl="4" w:tplc="04020003" w:tentative="1">
      <w:start w:val="1"/>
      <w:numFmt w:val="bullet"/>
      <w:lvlText w:val="o"/>
      <w:lvlJc w:val="left"/>
      <w:pPr>
        <w:ind w:left="4593" w:hanging="360"/>
      </w:pPr>
      <w:rPr>
        <w:rFonts w:ascii="Courier New" w:hAnsi="Courier New" w:cs="Courier New" w:hint="default"/>
      </w:rPr>
    </w:lvl>
    <w:lvl w:ilvl="5" w:tplc="04020005" w:tentative="1">
      <w:start w:val="1"/>
      <w:numFmt w:val="bullet"/>
      <w:lvlText w:val=""/>
      <w:lvlJc w:val="left"/>
      <w:pPr>
        <w:ind w:left="5313" w:hanging="360"/>
      </w:pPr>
      <w:rPr>
        <w:rFonts w:ascii="Wingdings" w:hAnsi="Wingdings" w:hint="default"/>
      </w:rPr>
    </w:lvl>
    <w:lvl w:ilvl="6" w:tplc="04020001" w:tentative="1">
      <w:start w:val="1"/>
      <w:numFmt w:val="bullet"/>
      <w:lvlText w:val=""/>
      <w:lvlJc w:val="left"/>
      <w:pPr>
        <w:ind w:left="6033" w:hanging="360"/>
      </w:pPr>
      <w:rPr>
        <w:rFonts w:ascii="Symbol" w:hAnsi="Symbol" w:hint="default"/>
      </w:rPr>
    </w:lvl>
    <w:lvl w:ilvl="7" w:tplc="04020003" w:tentative="1">
      <w:start w:val="1"/>
      <w:numFmt w:val="bullet"/>
      <w:lvlText w:val="o"/>
      <w:lvlJc w:val="left"/>
      <w:pPr>
        <w:ind w:left="6753" w:hanging="360"/>
      </w:pPr>
      <w:rPr>
        <w:rFonts w:ascii="Courier New" w:hAnsi="Courier New" w:cs="Courier New" w:hint="default"/>
      </w:rPr>
    </w:lvl>
    <w:lvl w:ilvl="8" w:tplc="04020005" w:tentative="1">
      <w:start w:val="1"/>
      <w:numFmt w:val="bullet"/>
      <w:lvlText w:val=""/>
      <w:lvlJc w:val="left"/>
      <w:pPr>
        <w:ind w:left="7473" w:hanging="360"/>
      </w:pPr>
      <w:rPr>
        <w:rFonts w:ascii="Wingdings" w:hAnsi="Wingdings" w:hint="default"/>
      </w:rPr>
    </w:lvl>
  </w:abstractNum>
  <w:abstractNum w:abstractNumId="1">
    <w:nsid w:val="12D35E89"/>
    <w:multiLevelType w:val="hybridMultilevel"/>
    <w:tmpl w:val="DDEE7B30"/>
    <w:lvl w:ilvl="0" w:tplc="19D0B15E">
      <w:start w:val="1"/>
      <w:numFmt w:val="decimal"/>
      <w:lvlText w:val="%1."/>
      <w:lvlJc w:val="left"/>
      <w:pPr>
        <w:ind w:left="4045" w:hanging="360"/>
      </w:pPr>
      <w:rPr>
        <w:rFonts w:hint="default"/>
      </w:rPr>
    </w:lvl>
    <w:lvl w:ilvl="1" w:tplc="04020019" w:tentative="1">
      <w:start w:val="1"/>
      <w:numFmt w:val="lowerLetter"/>
      <w:lvlText w:val="%2."/>
      <w:lvlJc w:val="left"/>
      <w:pPr>
        <w:ind w:left="4765" w:hanging="360"/>
      </w:pPr>
    </w:lvl>
    <w:lvl w:ilvl="2" w:tplc="0402001B" w:tentative="1">
      <w:start w:val="1"/>
      <w:numFmt w:val="lowerRoman"/>
      <w:lvlText w:val="%3."/>
      <w:lvlJc w:val="right"/>
      <w:pPr>
        <w:ind w:left="5485" w:hanging="180"/>
      </w:pPr>
    </w:lvl>
    <w:lvl w:ilvl="3" w:tplc="0402000F" w:tentative="1">
      <w:start w:val="1"/>
      <w:numFmt w:val="decimal"/>
      <w:lvlText w:val="%4."/>
      <w:lvlJc w:val="left"/>
      <w:pPr>
        <w:ind w:left="6205" w:hanging="360"/>
      </w:pPr>
    </w:lvl>
    <w:lvl w:ilvl="4" w:tplc="04020019" w:tentative="1">
      <w:start w:val="1"/>
      <w:numFmt w:val="lowerLetter"/>
      <w:lvlText w:val="%5."/>
      <w:lvlJc w:val="left"/>
      <w:pPr>
        <w:ind w:left="6925" w:hanging="360"/>
      </w:pPr>
    </w:lvl>
    <w:lvl w:ilvl="5" w:tplc="0402001B" w:tentative="1">
      <w:start w:val="1"/>
      <w:numFmt w:val="lowerRoman"/>
      <w:lvlText w:val="%6."/>
      <w:lvlJc w:val="right"/>
      <w:pPr>
        <w:ind w:left="7645" w:hanging="180"/>
      </w:pPr>
    </w:lvl>
    <w:lvl w:ilvl="6" w:tplc="0402000F" w:tentative="1">
      <w:start w:val="1"/>
      <w:numFmt w:val="decimal"/>
      <w:lvlText w:val="%7."/>
      <w:lvlJc w:val="left"/>
      <w:pPr>
        <w:ind w:left="8365" w:hanging="360"/>
      </w:pPr>
    </w:lvl>
    <w:lvl w:ilvl="7" w:tplc="04020019" w:tentative="1">
      <w:start w:val="1"/>
      <w:numFmt w:val="lowerLetter"/>
      <w:lvlText w:val="%8."/>
      <w:lvlJc w:val="left"/>
      <w:pPr>
        <w:ind w:left="9085" w:hanging="360"/>
      </w:pPr>
    </w:lvl>
    <w:lvl w:ilvl="8" w:tplc="0402001B" w:tentative="1">
      <w:start w:val="1"/>
      <w:numFmt w:val="lowerRoman"/>
      <w:lvlText w:val="%9."/>
      <w:lvlJc w:val="right"/>
      <w:pPr>
        <w:ind w:left="9805" w:hanging="180"/>
      </w:pPr>
    </w:lvl>
  </w:abstractNum>
  <w:abstractNum w:abstractNumId="2">
    <w:nsid w:val="1E4858C3"/>
    <w:multiLevelType w:val="hybridMultilevel"/>
    <w:tmpl w:val="D2361BA4"/>
    <w:lvl w:ilvl="0" w:tplc="630E798E">
      <w:start w:val="10"/>
      <w:numFmt w:val="bullet"/>
      <w:lvlText w:val="-"/>
      <w:lvlJc w:val="left"/>
      <w:pPr>
        <w:ind w:left="360" w:hanging="360"/>
      </w:pPr>
      <w:rPr>
        <w:rFonts w:ascii="Calibri" w:eastAsia="Calibri" w:hAnsi="Calibri" w:cs="Times New Roman"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3">
    <w:nsid w:val="29920920"/>
    <w:multiLevelType w:val="hybridMultilevel"/>
    <w:tmpl w:val="E9D890E8"/>
    <w:lvl w:ilvl="0" w:tplc="6EC4E7FA">
      <w:numFmt w:val="bullet"/>
      <w:lvlText w:val="-"/>
      <w:lvlJc w:val="left"/>
      <w:pPr>
        <w:ind w:left="1353" w:hanging="360"/>
      </w:pPr>
      <w:rPr>
        <w:rFonts w:ascii="Cambria" w:eastAsia="Times New Roman" w:hAnsi="Cambria" w:cs="Times New Roman" w:hint="default"/>
      </w:rPr>
    </w:lvl>
    <w:lvl w:ilvl="1" w:tplc="04020003" w:tentative="1">
      <w:start w:val="1"/>
      <w:numFmt w:val="bullet"/>
      <w:lvlText w:val="o"/>
      <w:lvlJc w:val="left"/>
      <w:pPr>
        <w:ind w:left="2073" w:hanging="360"/>
      </w:pPr>
      <w:rPr>
        <w:rFonts w:ascii="Courier New" w:hAnsi="Courier New" w:cs="Courier New" w:hint="default"/>
      </w:rPr>
    </w:lvl>
    <w:lvl w:ilvl="2" w:tplc="04020005" w:tentative="1">
      <w:start w:val="1"/>
      <w:numFmt w:val="bullet"/>
      <w:lvlText w:val=""/>
      <w:lvlJc w:val="left"/>
      <w:pPr>
        <w:ind w:left="2793" w:hanging="360"/>
      </w:pPr>
      <w:rPr>
        <w:rFonts w:ascii="Wingdings" w:hAnsi="Wingdings" w:hint="default"/>
      </w:rPr>
    </w:lvl>
    <w:lvl w:ilvl="3" w:tplc="04020001" w:tentative="1">
      <w:start w:val="1"/>
      <w:numFmt w:val="bullet"/>
      <w:lvlText w:val=""/>
      <w:lvlJc w:val="left"/>
      <w:pPr>
        <w:ind w:left="3513" w:hanging="360"/>
      </w:pPr>
      <w:rPr>
        <w:rFonts w:ascii="Symbol" w:hAnsi="Symbol" w:hint="default"/>
      </w:rPr>
    </w:lvl>
    <w:lvl w:ilvl="4" w:tplc="04020003" w:tentative="1">
      <w:start w:val="1"/>
      <w:numFmt w:val="bullet"/>
      <w:lvlText w:val="o"/>
      <w:lvlJc w:val="left"/>
      <w:pPr>
        <w:ind w:left="4233" w:hanging="360"/>
      </w:pPr>
      <w:rPr>
        <w:rFonts w:ascii="Courier New" w:hAnsi="Courier New" w:cs="Courier New" w:hint="default"/>
      </w:rPr>
    </w:lvl>
    <w:lvl w:ilvl="5" w:tplc="04020005" w:tentative="1">
      <w:start w:val="1"/>
      <w:numFmt w:val="bullet"/>
      <w:lvlText w:val=""/>
      <w:lvlJc w:val="left"/>
      <w:pPr>
        <w:ind w:left="4953" w:hanging="360"/>
      </w:pPr>
      <w:rPr>
        <w:rFonts w:ascii="Wingdings" w:hAnsi="Wingdings" w:hint="default"/>
      </w:rPr>
    </w:lvl>
    <w:lvl w:ilvl="6" w:tplc="04020001" w:tentative="1">
      <w:start w:val="1"/>
      <w:numFmt w:val="bullet"/>
      <w:lvlText w:val=""/>
      <w:lvlJc w:val="left"/>
      <w:pPr>
        <w:ind w:left="5673" w:hanging="360"/>
      </w:pPr>
      <w:rPr>
        <w:rFonts w:ascii="Symbol" w:hAnsi="Symbol" w:hint="default"/>
      </w:rPr>
    </w:lvl>
    <w:lvl w:ilvl="7" w:tplc="04020003" w:tentative="1">
      <w:start w:val="1"/>
      <w:numFmt w:val="bullet"/>
      <w:lvlText w:val="o"/>
      <w:lvlJc w:val="left"/>
      <w:pPr>
        <w:ind w:left="6393" w:hanging="360"/>
      </w:pPr>
      <w:rPr>
        <w:rFonts w:ascii="Courier New" w:hAnsi="Courier New" w:cs="Courier New" w:hint="default"/>
      </w:rPr>
    </w:lvl>
    <w:lvl w:ilvl="8" w:tplc="04020005" w:tentative="1">
      <w:start w:val="1"/>
      <w:numFmt w:val="bullet"/>
      <w:lvlText w:val=""/>
      <w:lvlJc w:val="left"/>
      <w:pPr>
        <w:ind w:left="7113" w:hanging="360"/>
      </w:pPr>
      <w:rPr>
        <w:rFonts w:ascii="Wingdings" w:hAnsi="Wingdings" w:hint="default"/>
      </w:rPr>
    </w:lvl>
  </w:abstractNum>
  <w:abstractNum w:abstractNumId="4">
    <w:nsid w:val="311835D3"/>
    <w:multiLevelType w:val="hybridMultilevel"/>
    <w:tmpl w:val="338E478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31E271E0"/>
    <w:multiLevelType w:val="hybridMultilevel"/>
    <w:tmpl w:val="07F210D6"/>
    <w:lvl w:ilvl="0" w:tplc="2B54B46C">
      <w:start w:val="1"/>
      <w:numFmt w:val="decimal"/>
      <w:lvlText w:val="%1."/>
      <w:lvlJc w:val="left"/>
      <w:pPr>
        <w:ind w:left="922" w:hanging="360"/>
      </w:pPr>
      <w:rPr>
        <w:rFonts w:hint="default"/>
      </w:rPr>
    </w:lvl>
    <w:lvl w:ilvl="1" w:tplc="04020019" w:tentative="1">
      <w:start w:val="1"/>
      <w:numFmt w:val="lowerLetter"/>
      <w:lvlText w:val="%2."/>
      <w:lvlJc w:val="left"/>
      <w:pPr>
        <w:ind w:left="1642" w:hanging="360"/>
      </w:pPr>
    </w:lvl>
    <w:lvl w:ilvl="2" w:tplc="0402001B" w:tentative="1">
      <w:start w:val="1"/>
      <w:numFmt w:val="lowerRoman"/>
      <w:lvlText w:val="%3."/>
      <w:lvlJc w:val="right"/>
      <w:pPr>
        <w:ind w:left="2362" w:hanging="180"/>
      </w:pPr>
    </w:lvl>
    <w:lvl w:ilvl="3" w:tplc="0402000F" w:tentative="1">
      <w:start w:val="1"/>
      <w:numFmt w:val="decimal"/>
      <w:lvlText w:val="%4."/>
      <w:lvlJc w:val="left"/>
      <w:pPr>
        <w:ind w:left="3082" w:hanging="360"/>
      </w:pPr>
    </w:lvl>
    <w:lvl w:ilvl="4" w:tplc="04020019" w:tentative="1">
      <w:start w:val="1"/>
      <w:numFmt w:val="lowerLetter"/>
      <w:lvlText w:val="%5."/>
      <w:lvlJc w:val="left"/>
      <w:pPr>
        <w:ind w:left="3802" w:hanging="360"/>
      </w:pPr>
    </w:lvl>
    <w:lvl w:ilvl="5" w:tplc="0402001B" w:tentative="1">
      <w:start w:val="1"/>
      <w:numFmt w:val="lowerRoman"/>
      <w:lvlText w:val="%6."/>
      <w:lvlJc w:val="right"/>
      <w:pPr>
        <w:ind w:left="4522" w:hanging="180"/>
      </w:pPr>
    </w:lvl>
    <w:lvl w:ilvl="6" w:tplc="0402000F" w:tentative="1">
      <w:start w:val="1"/>
      <w:numFmt w:val="decimal"/>
      <w:lvlText w:val="%7."/>
      <w:lvlJc w:val="left"/>
      <w:pPr>
        <w:ind w:left="5242" w:hanging="360"/>
      </w:pPr>
    </w:lvl>
    <w:lvl w:ilvl="7" w:tplc="04020019" w:tentative="1">
      <w:start w:val="1"/>
      <w:numFmt w:val="lowerLetter"/>
      <w:lvlText w:val="%8."/>
      <w:lvlJc w:val="left"/>
      <w:pPr>
        <w:ind w:left="5962" w:hanging="360"/>
      </w:pPr>
    </w:lvl>
    <w:lvl w:ilvl="8" w:tplc="0402001B" w:tentative="1">
      <w:start w:val="1"/>
      <w:numFmt w:val="lowerRoman"/>
      <w:lvlText w:val="%9."/>
      <w:lvlJc w:val="right"/>
      <w:pPr>
        <w:ind w:left="6682" w:hanging="180"/>
      </w:pPr>
    </w:lvl>
  </w:abstractNum>
  <w:abstractNum w:abstractNumId="6">
    <w:nsid w:val="470B3886"/>
    <w:multiLevelType w:val="hybridMultilevel"/>
    <w:tmpl w:val="5EE881A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4C5F1050"/>
    <w:multiLevelType w:val="hybridMultilevel"/>
    <w:tmpl w:val="CE788E5E"/>
    <w:lvl w:ilvl="0" w:tplc="2CC2599E">
      <w:start w:val="1"/>
      <w:numFmt w:val="bullet"/>
      <w:lvlText w:val=""/>
      <w:lvlJc w:val="left"/>
      <w:pPr>
        <w:ind w:left="720" w:hanging="360"/>
      </w:pPr>
      <w:rPr>
        <w:rFonts w:ascii="Symbol" w:hAnsi="Symbol"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52B9425C"/>
    <w:multiLevelType w:val="hybridMultilevel"/>
    <w:tmpl w:val="F9086CE2"/>
    <w:lvl w:ilvl="0" w:tplc="E6F28C38">
      <w:start w:val="1"/>
      <w:numFmt w:val="bullet"/>
      <w:lvlText w:val=""/>
      <w:lvlJc w:val="left"/>
      <w:pPr>
        <w:ind w:left="1713" w:hanging="360"/>
      </w:pPr>
      <w:rPr>
        <w:rFonts w:ascii="Symbol" w:hAnsi="Symbol" w:hint="default"/>
      </w:rPr>
    </w:lvl>
    <w:lvl w:ilvl="1" w:tplc="04020003" w:tentative="1">
      <w:start w:val="1"/>
      <w:numFmt w:val="bullet"/>
      <w:lvlText w:val="o"/>
      <w:lvlJc w:val="left"/>
      <w:pPr>
        <w:ind w:left="2433" w:hanging="360"/>
      </w:pPr>
      <w:rPr>
        <w:rFonts w:ascii="Courier New" w:hAnsi="Courier New" w:cs="Courier New" w:hint="default"/>
      </w:rPr>
    </w:lvl>
    <w:lvl w:ilvl="2" w:tplc="04020005" w:tentative="1">
      <w:start w:val="1"/>
      <w:numFmt w:val="bullet"/>
      <w:lvlText w:val=""/>
      <w:lvlJc w:val="left"/>
      <w:pPr>
        <w:ind w:left="3153" w:hanging="360"/>
      </w:pPr>
      <w:rPr>
        <w:rFonts w:ascii="Wingdings" w:hAnsi="Wingdings" w:hint="default"/>
      </w:rPr>
    </w:lvl>
    <w:lvl w:ilvl="3" w:tplc="04020001" w:tentative="1">
      <w:start w:val="1"/>
      <w:numFmt w:val="bullet"/>
      <w:lvlText w:val=""/>
      <w:lvlJc w:val="left"/>
      <w:pPr>
        <w:ind w:left="3873" w:hanging="360"/>
      </w:pPr>
      <w:rPr>
        <w:rFonts w:ascii="Symbol" w:hAnsi="Symbol" w:hint="default"/>
      </w:rPr>
    </w:lvl>
    <w:lvl w:ilvl="4" w:tplc="04020003" w:tentative="1">
      <w:start w:val="1"/>
      <w:numFmt w:val="bullet"/>
      <w:lvlText w:val="o"/>
      <w:lvlJc w:val="left"/>
      <w:pPr>
        <w:ind w:left="4593" w:hanging="360"/>
      </w:pPr>
      <w:rPr>
        <w:rFonts w:ascii="Courier New" w:hAnsi="Courier New" w:cs="Courier New" w:hint="default"/>
      </w:rPr>
    </w:lvl>
    <w:lvl w:ilvl="5" w:tplc="04020005" w:tentative="1">
      <w:start w:val="1"/>
      <w:numFmt w:val="bullet"/>
      <w:lvlText w:val=""/>
      <w:lvlJc w:val="left"/>
      <w:pPr>
        <w:ind w:left="5313" w:hanging="360"/>
      </w:pPr>
      <w:rPr>
        <w:rFonts w:ascii="Wingdings" w:hAnsi="Wingdings" w:hint="default"/>
      </w:rPr>
    </w:lvl>
    <w:lvl w:ilvl="6" w:tplc="04020001" w:tentative="1">
      <w:start w:val="1"/>
      <w:numFmt w:val="bullet"/>
      <w:lvlText w:val=""/>
      <w:lvlJc w:val="left"/>
      <w:pPr>
        <w:ind w:left="6033" w:hanging="360"/>
      </w:pPr>
      <w:rPr>
        <w:rFonts w:ascii="Symbol" w:hAnsi="Symbol" w:hint="default"/>
      </w:rPr>
    </w:lvl>
    <w:lvl w:ilvl="7" w:tplc="04020003" w:tentative="1">
      <w:start w:val="1"/>
      <w:numFmt w:val="bullet"/>
      <w:lvlText w:val="o"/>
      <w:lvlJc w:val="left"/>
      <w:pPr>
        <w:ind w:left="6753" w:hanging="360"/>
      </w:pPr>
      <w:rPr>
        <w:rFonts w:ascii="Courier New" w:hAnsi="Courier New" w:cs="Courier New" w:hint="default"/>
      </w:rPr>
    </w:lvl>
    <w:lvl w:ilvl="8" w:tplc="04020005" w:tentative="1">
      <w:start w:val="1"/>
      <w:numFmt w:val="bullet"/>
      <w:lvlText w:val=""/>
      <w:lvlJc w:val="left"/>
      <w:pPr>
        <w:ind w:left="7473" w:hanging="360"/>
      </w:pPr>
      <w:rPr>
        <w:rFonts w:ascii="Wingdings" w:hAnsi="Wingdings" w:hint="default"/>
      </w:rPr>
    </w:lvl>
  </w:abstractNum>
  <w:abstractNum w:abstractNumId="9">
    <w:nsid w:val="6A59314B"/>
    <w:multiLevelType w:val="hybridMultilevel"/>
    <w:tmpl w:val="6E66CC0A"/>
    <w:lvl w:ilvl="0" w:tplc="E6F28C38">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764D4077"/>
    <w:multiLevelType w:val="multilevel"/>
    <w:tmpl w:val="DC1CABE8"/>
    <w:lvl w:ilvl="0">
      <w:start w:val="1"/>
      <w:numFmt w:val="decimal"/>
      <w:lvlText w:val="%1."/>
      <w:lvlJc w:val="left"/>
      <w:pPr>
        <w:ind w:left="720" w:hanging="360"/>
      </w:pPr>
      <w:rPr>
        <w:rFonts w:hint="default"/>
        <w:caps w:val="0"/>
        <w:strike w:val="0"/>
        <w:dstrike w:val="0"/>
        <w:vanish w:val="0"/>
        <w:color w:val="auto"/>
        <w:u w:val="none" w:color="FFFFFF"/>
        <w:vertAlign w:val="baselin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1"/>
  </w:num>
  <w:num w:numId="3">
    <w:abstractNumId w:val="0"/>
  </w:num>
  <w:num w:numId="4">
    <w:abstractNumId w:val="3"/>
  </w:num>
  <w:num w:numId="5">
    <w:abstractNumId w:val="9"/>
  </w:num>
  <w:num w:numId="6">
    <w:abstractNumId w:val="8"/>
  </w:num>
  <w:num w:numId="7">
    <w:abstractNumId w:val="7"/>
  </w:num>
  <w:num w:numId="8">
    <w:abstractNumId w:val="10"/>
  </w:num>
  <w:num w:numId="9">
    <w:abstractNumId w:val="4"/>
  </w:num>
  <w:num w:numId="10">
    <w:abstractNumId w:val="6"/>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attachedTemplate r:id="rId1"/>
  <w:defaultTabStop w:val="708"/>
  <w:hyphenationZone w:val="425"/>
  <w:noPunctuationKerning/>
  <w:characterSpacingControl w:val="doNotCompress"/>
  <w:hdrShapeDefaults>
    <o:shapedefaults v:ext="edit" spidmax="25602"/>
  </w:hdrShapeDefaults>
  <w:footnotePr>
    <w:footnote w:id="0"/>
    <w:footnote w:id="1"/>
  </w:footnotePr>
  <w:endnotePr>
    <w:endnote w:id="0"/>
    <w:endnote w:id="1"/>
  </w:endnotePr>
  <w:compat/>
  <w:rsids>
    <w:rsidRoot w:val="005A466D"/>
    <w:rsid w:val="000072C9"/>
    <w:rsid w:val="00050EF5"/>
    <w:rsid w:val="00052290"/>
    <w:rsid w:val="00054EDB"/>
    <w:rsid w:val="000941BE"/>
    <w:rsid w:val="000B04E2"/>
    <w:rsid w:val="000C22E0"/>
    <w:rsid w:val="001033D6"/>
    <w:rsid w:val="001220E3"/>
    <w:rsid w:val="0013730F"/>
    <w:rsid w:val="001438B6"/>
    <w:rsid w:val="001501FB"/>
    <w:rsid w:val="00162935"/>
    <w:rsid w:val="001758D3"/>
    <w:rsid w:val="00181EA3"/>
    <w:rsid w:val="001A0D6A"/>
    <w:rsid w:val="001C02D7"/>
    <w:rsid w:val="001D16D7"/>
    <w:rsid w:val="001D63C7"/>
    <w:rsid w:val="001E7937"/>
    <w:rsid w:val="001F4D47"/>
    <w:rsid w:val="002021FC"/>
    <w:rsid w:val="002049F7"/>
    <w:rsid w:val="002378F6"/>
    <w:rsid w:val="00261BCC"/>
    <w:rsid w:val="0029138E"/>
    <w:rsid w:val="002955C3"/>
    <w:rsid w:val="00295F2E"/>
    <w:rsid w:val="002B414D"/>
    <w:rsid w:val="002D168F"/>
    <w:rsid w:val="002D698E"/>
    <w:rsid w:val="00307588"/>
    <w:rsid w:val="00311B57"/>
    <w:rsid w:val="003449F4"/>
    <w:rsid w:val="00364FB6"/>
    <w:rsid w:val="003900E0"/>
    <w:rsid w:val="003D565D"/>
    <w:rsid w:val="003D65EB"/>
    <w:rsid w:val="00475D2B"/>
    <w:rsid w:val="00496D25"/>
    <w:rsid w:val="004A497F"/>
    <w:rsid w:val="004B5745"/>
    <w:rsid w:val="004F6AB6"/>
    <w:rsid w:val="00500BB9"/>
    <w:rsid w:val="0050731A"/>
    <w:rsid w:val="00516ACE"/>
    <w:rsid w:val="00526DA0"/>
    <w:rsid w:val="00534936"/>
    <w:rsid w:val="005567D3"/>
    <w:rsid w:val="00590BE3"/>
    <w:rsid w:val="005A466D"/>
    <w:rsid w:val="005C5C5C"/>
    <w:rsid w:val="005E640A"/>
    <w:rsid w:val="005F4370"/>
    <w:rsid w:val="00601C9F"/>
    <w:rsid w:val="006114E2"/>
    <w:rsid w:val="0061398D"/>
    <w:rsid w:val="006253BA"/>
    <w:rsid w:val="006642BC"/>
    <w:rsid w:val="00687CE5"/>
    <w:rsid w:val="006C510A"/>
    <w:rsid w:val="006F6A0E"/>
    <w:rsid w:val="007221AB"/>
    <w:rsid w:val="00765ECB"/>
    <w:rsid w:val="00790BCF"/>
    <w:rsid w:val="007B5B1F"/>
    <w:rsid w:val="007D263B"/>
    <w:rsid w:val="00850DCC"/>
    <w:rsid w:val="00864709"/>
    <w:rsid w:val="008A524A"/>
    <w:rsid w:val="008B2A76"/>
    <w:rsid w:val="008C4A79"/>
    <w:rsid w:val="0092591E"/>
    <w:rsid w:val="0093487F"/>
    <w:rsid w:val="00934A3B"/>
    <w:rsid w:val="00977020"/>
    <w:rsid w:val="0099154F"/>
    <w:rsid w:val="009A5DC0"/>
    <w:rsid w:val="009B21B7"/>
    <w:rsid w:val="009B6571"/>
    <w:rsid w:val="009D7DA9"/>
    <w:rsid w:val="009E669B"/>
    <w:rsid w:val="00A04C1E"/>
    <w:rsid w:val="00A471CD"/>
    <w:rsid w:val="00A51A4A"/>
    <w:rsid w:val="00A73943"/>
    <w:rsid w:val="00AC0F13"/>
    <w:rsid w:val="00AD647D"/>
    <w:rsid w:val="00AE09AF"/>
    <w:rsid w:val="00AE1D7B"/>
    <w:rsid w:val="00AE78B4"/>
    <w:rsid w:val="00AF31DC"/>
    <w:rsid w:val="00B001B9"/>
    <w:rsid w:val="00B03272"/>
    <w:rsid w:val="00B2770A"/>
    <w:rsid w:val="00B36204"/>
    <w:rsid w:val="00B50080"/>
    <w:rsid w:val="00B5685C"/>
    <w:rsid w:val="00B74B92"/>
    <w:rsid w:val="00B76451"/>
    <w:rsid w:val="00B907A1"/>
    <w:rsid w:val="00BD2B2C"/>
    <w:rsid w:val="00BD3148"/>
    <w:rsid w:val="00BF33A4"/>
    <w:rsid w:val="00C469BF"/>
    <w:rsid w:val="00C52BD7"/>
    <w:rsid w:val="00C64208"/>
    <w:rsid w:val="00C64702"/>
    <w:rsid w:val="00C72E2E"/>
    <w:rsid w:val="00C83DCA"/>
    <w:rsid w:val="00C9365B"/>
    <w:rsid w:val="00CA52AB"/>
    <w:rsid w:val="00CA6680"/>
    <w:rsid w:val="00CB0054"/>
    <w:rsid w:val="00D103A0"/>
    <w:rsid w:val="00D315D6"/>
    <w:rsid w:val="00D44281"/>
    <w:rsid w:val="00D47219"/>
    <w:rsid w:val="00D745D9"/>
    <w:rsid w:val="00D91559"/>
    <w:rsid w:val="00DA096C"/>
    <w:rsid w:val="00DA17C9"/>
    <w:rsid w:val="00DA2B2E"/>
    <w:rsid w:val="00E02C1E"/>
    <w:rsid w:val="00E11190"/>
    <w:rsid w:val="00E1134A"/>
    <w:rsid w:val="00E302A4"/>
    <w:rsid w:val="00E350B9"/>
    <w:rsid w:val="00E5310A"/>
    <w:rsid w:val="00E72DEE"/>
    <w:rsid w:val="00EA34B0"/>
    <w:rsid w:val="00EB76E6"/>
    <w:rsid w:val="00F1015E"/>
    <w:rsid w:val="00F30BDF"/>
    <w:rsid w:val="00F60FA2"/>
    <w:rsid w:val="00F75DA6"/>
    <w:rsid w:val="00F852E7"/>
    <w:rsid w:val="00FB0FEA"/>
    <w:rsid w:val="00FD3B11"/>
    <w:rsid w:val="00FD69F8"/>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2E0"/>
    <w:rPr>
      <w:lang w:val="en-US"/>
    </w:rPr>
  </w:style>
  <w:style w:type="paragraph" w:styleId="1">
    <w:name w:val="heading 1"/>
    <w:basedOn w:val="a"/>
    <w:next w:val="a"/>
    <w:qFormat/>
    <w:rsid w:val="000C22E0"/>
    <w:pPr>
      <w:keepNext/>
      <w:spacing w:line="240" w:lineRule="atLeast"/>
      <w:ind w:left="3288" w:firstLine="4277"/>
      <w:jc w:val="both"/>
      <w:outlineLvl w:val="0"/>
    </w:pPr>
    <w:rPr>
      <w:rFonts w:ascii="Tahoma" w:hAnsi="Tahoma"/>
      <w:b/>
      <w:sz w:val="18"/>
      <w:lang w:val="bg-BG"/>
    </w:rPr>
  </w:style>
  <w:style w:type="paragraph" w:styleId="2">
    <w:name w:val="heading 2"/>
    <w:basedOn w:val="a"/>
    <w:next w:val="a"/>
    <w:link w:val="20"/>
    <w:uiPriority w:val="9"/>
    <w:qFormat/>
    <w:rsid w:val="005E640A"/>
    <w:pPr>
      <w:keepNext/>
      <w:keepLines/>
      <w:spacing w:before="200" w:line="259" w:lineRule="auto"/>
      <w:outlineLvl w:val="1"/>
    </w:pPr>
    <w:rPr>
      <w:rFonts w:ascii="Calibri Light" w:eastAsia="MS Gothic" w:hAnsi="Calibri Light"/>
      <w:b/>
      <w:bCs/>
      <w:color w:val="5B9BD5"/>
      <w:sz w:val="26"/>
      <w:szCs w:val="26"/>
    </w:rPr>
  </w:style>
  <w:style w:type="paragraph" w:styleId="3">
    <w:name w:val="heading 3"/>
    <w:basedOn w:val="a"/>
    <w:next w:val="a"/>
    <w:link w:val="30"/>
    <w:uiPriority w:val="9"/>
    <w:qFormat/>
    <w:rsid w:val="005E640A"/>
    <w:pPr>
      <w:keepNext/>
      <w:keepLines/>
      <w:spacing w:before="200" w:line="259" w:lineRule="auto"/>
      <w:outlineLvl w:val="2"/>
    </w:pPr>
    <w:rPr>
      <w:rFonts w:ascii="Calibri Light" w:eastAsia="MS Gothic" w:hAnsi="Calibri Light"/>
      <w:b/>
      <w:bCs/>
      <w:color w:val="5B9BD5"/>
    </w:rPr>
  </w:style>
  <w:style w:type="paragraph" w:styleId="6">
    <w:name w:val="heading 6"/>
    <w:basedOn w:val="a"/>
    <w:next w:val="a"/>
    <w:qFormat/>
    <w:rsid w:val="000C22E0"/>
    <w:pPr>
      <w:keepNext/>
      <w:spacing w:line="360" w:lineRule="auto"/>
      <w:ind w:right="-568" w:firstLine="5670"/>
      <w:jc w:val="both"/>
      <w:outlineLvl w:val="5"/>
    </w:pPr>
    <w:rPr>
      <w:rFonts w:ascii="Tahoma" w:hAnsi="Tahoma"/>
      <w:b/>
      <w:lang w:val="bg-BG"/>
    </w:rPr>
  </w:style>
  <w:style w:type="paragraph" w:styleId="7">
    <w:name w:val="heading 7"/>
    <w:basedOn w:val="a"/>
    <w:next w:val="a"/>
    <w:qFormat/>
    <w:rsid w:val="000C22E0"/>
    <w:pPr>
      <w:spacing w:before="240" w:after="60"/>
      <w:outlineLvl w:val="6"/>
    </w:pPr>
    <w:rPr>
      <w:sz w:val="24"/>
      <w:szCs w:val="24"/>
    </w:rPr>
  </w:style>
  <w:style w:type="paragraph" w:styleId="9">
    <w:name w:val="heading 9"/>
    <w:basedOn w:val="a"/>
    <w:next w:val="a"/>
    <w:qFormat/>
    <w:rsid w:val="000C22E0"/>
    <w:pPr>
      <w:keepNext/>
      <w:spacing w:line="240" w:lineRule="atLeast"/>
      <w:ind w:right="1984"/>
      <w:jc w:val="center"/>
      <w:outlineLvl w:val="8"/>
    </w:pPr>
    <w:rPr>
      <w:rFonts w:ascii="Tahoma" w:hAnsi="Tahoma"/>
      <w:b/>
      <w:sz w:val="22"/>
      <w:lang w:val="bg-B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0C22E0"/>
    <w:pPr>
      <w:spacing w:before="60"/>
      <w:ind w:right="67" w:firstLine="567"/>
      <w:jc w:val="both"/>
    </w:pPr>
    <w:rPr>
      <w:rFonts w:ascii="Tahoma" w:hAnsi="Tahoma"/>
      <w:sz w:val="18"/>
      <w:lang w:val="bg-BG"/>
    </w:rPr>
  </w:style>
  <w:style w:type="paragraph" w:styleId="21">
    <w:name w:val="Body Text Indent 2"/>
    <w:basedOn w:val="a"/>
    <w:semiHidden/>
    <w:rsid w:val="000C22E0"/>
    <w:pPr>
      <w:spacing w:before="60" w:after="160"/>
      <w:ind w:right="67" w:firstLine="562"/>
      <w:jc w:val="both"/>
    </w:pPr>
    <w:rPr>
      <w:rFonts w:ascii="Tahoma" w:hAnsi="Tahoma"/>
      <w:sz w:val="18"/>
      <w:lang w:val="bg-BG"/>
    </w:rPr>
  </w:style>
  <w:style w:type="paragraph" w:styleId="a4">
    <w:name w:val="header"/>
    <w:basedOn w:val="a"/>
    <w:link w:val="a5"/>
    <w:uiPriority w:val="99"/>
    <w:unhideWhenUsed/>
    <w:rsid w:val="009B6571"/>
    <w:pPr>
      <w:tabs>
        <w:tab w:val="center" w:pos="4536"/>
        <w:tab w:val="right" w:pos="9072"/>
      </w:tabs>
    </w:pPr>
  </w:style>
  <w:style w:type="character" w:customStyle="1" w:styleId="a5">
    <w:name w:val="Горен колонтитул Знак"/>
    <w:link w:val="a4"/>
    <w:uiPriority w:val="99"/>
    <w:rsid w:val="009B6571"/>
    <w:rPr>
      <w:lang w:val="en-US"/>
    </w:rPr>
  </w:style>
  <w:style w:type="paragraph" w:styleId="a6">
    <w:name w:val="footer"/>
    <w:basedOn w:val="a"/>
    <w:link w:val="a7"/>
    <w:uiPriority w:val="99"/>
    <w:unhideWhenUsed/>
    <w:rsid w:val="009B6571"/>
    <w:pPr>
      <w:tabs>
        <w:tab w:val="center" w:pos="4536"/>
        <w:tab w:val="right" w:pos="9072"/>
      </w:tabs>
    </w:pPr>
  </w:style>
  <w:style w:type="character" w:customStyle="1" w:styleId="a7">
    <w:name w:val="Долен колонтитул Знак"/>
    <w:link w:val="a6"/>
    <w:uiPriority w:val="99"/>
    <w:rsid w:val="009B6571"/>
    <w:rPr>
      <w:lang w:val="en-US"/>
    </w:rPr>
  </w:style>
  <w:style w:type="table" w:styleId="a8">
    <w:name w:val="Table Grid"/>
    <w:basedOn w:val="a1"/>
    <w:uiPriority w:val="39"/>
    <w:rsid w:val="003449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Balloon Text"/>
    <w:basedOn w:val="a"/>
    <w:link w:val="aa"/>
    <w:uiPriority w:val="99"/>
    <w:semiHidden/>
    <w:unhideWhenUsed/>
    <w:rsid w:val="008B2A76"/>
    <w:rPr>
      <w:rFonts w:ascii="Tahoma" w:hAnsi="Tahoma" w:cs="Tahoma"/>
      <w:sz w:val="16"/>
      <w:szCs w:val="16"/>
    </w:rPr>
  </w:style>
  <w:style w:type="character" w:customStyle="1" w:styleId="aa">
    <w:name w:val="Изнесен текст Знак"/>
    <w:basedOn w:val="a0"/>
    <w:link w:val="a9"/>
    <w:uiPriority w:val="99"/>
    <w:semiHidden/>
    <w:rsid w:val="008B2A76"/>
    <w:rPr>
      <w:rFonts w:ascii="Tahoma" w:hAnsi="Tahoma" w:cs="Tahoma"/>
      <w:sz w:val="16"/>
      <w:szCs w:val="16"/>
      <w:lang w:val="en-US"/>
    </w:rPr>
  </w:style>
  <w:style w:type="paragraph" w:styleId="ab">
    <w:name w:val="Title"/>
    <w:basedOn w:val="a"/>
    <w:link w:val="ac"/>
    <w:qFormat/>
    <w:rsid w:val="00364FB6"/>
    <w:pPr>
      <w:widowControl w:val="0"/>
      <w:tabs>
        <w:tab w:val="left" w:pos="-720"/>
      </w:tabs>
      <w:suppressAutoHyphens/>
      <w:jc w:val="center"/>
    </w:pPr>
    <w:rPr>
      <w:b/>
      <w:snapToGrid w:val="0"/>
      <w:sz w:val="48"/>
      <w:lang w:eastAsia="en-US"/>
    </w:rPr>
  </w:style>
  <w:style w:type="character" w:customStyle="1" w:styleId="ac">
    <w:name w:val="Заглавие Знак"/>
    <w:basedOn w:val="a0"/>
    <w:link w:val="ab"/>
    <w:rsid w:val="00364FB6"/>
    <w:rPr>
      <w:b/>
      <w:snapToGrid w:val="0"/>
      <w:sz w:val="48"/>
      <w:lang w:val="en-US" w:eastAsia="en-US"/>
    </w:rPr>
  </w:style>
  <w:style w:type="character" w:styleId="ad">
    <w:name w:val="Hyperlink"/>
    <w:rsid w:val="00364FB6"/>
    <w:rPr>
      <w:color w:val="0000FF"/>
      <w:u w:val="single"/>
    </w:rPr>
  </w:style>
  <w:style w:type="paragraph" w:styleId="ae">
    <w:name w:val="List Paragraph"/>
    <w:basedOn w:val="a"/>
    <w:uiPriority w:val="99"/>
    <w:qFormat/>
    <w:rsid w:val="0099154F"/>
    <w:pPr>
      <w:ind w:left="720"/>
      <w:contextualSpacing/>
    </w:pPr>
  </w:style>
  <w:style w:type="character" w:styleId="af">
    <w:name w:val="FollowedHyperlink"/>
    <w:basedOn w:val="a0"/>
    <w:uiPriority w:val="99"/>
    <w:semiHidden/>
    <w:unhideWhenUsed/>
    <w:rsid w:val="004A497F"/>
    <w:rPr>
      <w:color w:val="800080" w:themeColor="followedHyperlink"/>
      <w:u w:val="single"/>
    </w:rPr>
  </w:style>
  <w:style w:type="character" w:customStyle="1" w:styleId="20">
    <w:name w:val="Заглавие 2 Знак"/>
    <w:basedOn w:val="a0"/>
    <w:link w:val="2"/>
    <w:uiPriority w:val="9"/>
    <w:rsid w:val="005E640A"/>
    <w:rPr>
      <w:rFonts w:ascii="Calibri Light" w:eastAsia="MS Gothic" w:hAnsi="Calibri Light"/>
      <w:b/>
      <w:bCs/>
      <w:color w:val="5B9BD5"/>
      <w:sz w:val="26"/>
      <w:szCs w:val="26"/>
    </w:rPr>
  </w:style>
  <w:style w:type="character" w:customStyle="1" w:styleId="30">
    <w:name w:val="Заглавие 3 Знак"/>
    <w:basedOn w:val="a0"/>
    <w:link w:val="3"/>
    <w:uiPriority w:val="9"/>
    <w:rsid w:val="005E640A"/>
    <w:rPr>
      <w:rFonts w:ascii="Calibri Light" w:eastAsia="MS Gothic" w:hAnsi="Calibri Light"/>
      <w:b/>
      <w:bCs/>
      <w:color w:val="5B9BD5"/>
    </w:rPr>
  </w:style>
  <w:style w:type="paragraph" w:styleId="af0">
    <w:name w:val="footnote text"/>
    <w:aliases w:val="Podrozdział,stile 1,Footnote1,Footnote2,Footnote3,Footnote4,Footnote5,Footnote6,Footnote7,Footnote8,Footnote9,Footnote10,Footnote11,Footnote21,Footnote31,Footnote41,Footnote51,Footnote61,Footnote71,Footnote81,Footnote91,single spa, Car C"/>
    <w:basedOn w:val="a"/>
    <w:link w:val="af1"/>
    <w:uiPriority w:val="99"/>
    <w:unhideWhenUsed/>
    <w:rsid w:val="005E640A"/>
    <w:rPr>
      <w:rFonts w:ascii="Calibri" w:eastAsia="Calibri" w:hAnsi="Calibri"/>
    </w:rPr>
  </w:style>
  <w:style w:type="character" w:customStyle="1" w:styleId="af1">
    <w:name w:val="Текст под линия Знак"/>
    <w:aliases w:val="Podrozdział Знак,stile 1 Знак,Footnote1 Знак,Footnote2 Знак,Footnote3 Знак,Footnote4 Знак,Footnote5 Знак,Footnote6 Знак,Footnote7 Знак,Footnote8 Знак,Footnote9 Знак,Footnote10 Знак,Footnote11 Знак,Footnote21 Знак,Footnote31 Знак"/>
    <w:basedOn w:val="a0"/>
    <w:link w:val="af0"/>
    <w:uiPriority w:val="99"/>
    <w:rsid w:val="005E640A"/>
    <w:rPr>
      <w:rFonts w:ascii="Calibri" w:eastAsia="Calibri" w:hAnsi="Calibri"/>
    </w:rPr>
  </w:style>
  <w:style w:type="character" w:styleId="af2">
    <w:name w:val="footnote reference"/>
    <w:aliases w:val="Footnote symbol,Appel note de bas de p,SUPERS,Nota,(NECG) Footnote Reference,Voetnootverwijzing,Footnote Reference Superscript,BVI fnr,Lábjegyzet-hivatkozás,L?bjegyzet-hivatkoz?s,Char1 Char Char Char Char,ftref,Fussnot"/>
    <w:uiPriority w:val="99"/>
    <w:unhideWhenUsed/>
    <w:rsid w:val="005E640A"/>
    <w:rPr>
      <w:vertAlign w:val="superscript"/>
    </w:rPr>
  </w:style>
  <w:style w:type="paragraph" w:styleId="af3">
    <w:name w:val="TOC Heading"/>
    <w:basedOn w:val="1"/>
    <w:next w:val="a"/>
    <w:uiPriority w:val="39"/>
    <w:qFormat/>
    <w:rsid w:val="005E640A"/>
    <w:pPr>
      <w:keepLines/>
      <w:spacing w:before="480" w:line="276" w:lineRule="auto"/>
      <w:ind w:left="0" w:firstLine="0"/>
      <w:jc w:val="left"/>
      <w:outlineLvl w:val="9"/>
    </w:pPr>
    <w:rPr>
      <w:rFonts w:ascii="Calibri Light" w:eastAsia="MS Gothic" w:hAnsi="Calibri Light"/>
      <w:bCs/>
      <w:color w:val="2E74B5"/>
      <w:sz w:val="28"/>
      <w:szCs w:val="28"/>
    </w:rPr>
  </w:style>
  <w:style w:type="paragraph" w:styleId="22">
    <w:name w:val="toc 2"/>
    <w:basedOn w:val="a"/>
    <w:next w:val="a"/>
    <w:autoRedefine/>
    <w:uiPriority w:val="39"/>
    <w:unhideWhenUsed/>
    <w:rsid w:val="005E640A"/>
    <w:pPr>
      <w:spacing w:after="100" w:line="259" w:lineRule="auto"/>
      <w:ind w:left="220"/>
    </w:pPr>
    <w:rPr>
      <w:rFonts w:ascii="Calibri" w:eastAsia="Calibri" w:hAnsi="Calibri"/>
      <w:sz w:val="22"/>
      <w:szCs w:val="22"/>
      <w:lang w:val="bg-BG" w:eastAsia="en-US"/>
    </w:rPr>
  </w:style>
  <w:style w:type="paragraph" w:styleId="31">
    <w:name w:val="toc 3"/>
    <w:basedOn w:val="a"/>
    <w:next w:val="a"/>
    <w:autoRedefine/>
    <w:uiPriority w:val="39"/>
    <w:unhideWhenUsed/>
    <w:rsid w:val="005E640A"/>
    <w:pPr>
      <w:tabs>
        <w:tab w:val="right" w:leader="dot" w:pos="9346"/>
      </w:tabs>
      <w:spacing w:after="100" w:line="259" w:lineRule="auto"/>
      <w:ind w:right="850"/>
      <w:jc w:val="both"/>
    </w:pPr>
    <w:rPr>
      <w:rFonts w:ascii="Calibri" w:eastAsia="Calibri" w:hAnsi="Calibri"/>
      <w:sz w:val="22"/>
      <w:szCs w:val="22"/>
      <w:lang w:val="bg-BG" w:eastAsia="en-US"/>
    </w:rPr>
  </w:style>
  <w:style w:type="paragraph" w:styleId="af4">
    <w:name w:val="Intense Quote"/>
    <w:basedOn w:val="a"/>
    <w:next w:val="a"/>
    <w:link w:val="af5"/>
    <w:uiPriority w:val="30"/>
    <w:qFormat/>
    <w:rsid w:val="005E640A"/>
    <w:pPr>
      <w:pBdr>
        <w:bottom w:val="single" w:sz="4" w:space="4" w:color="4F81BD"/>
      </w:pBdr>
      <w:spacing w:before="200" w:after="280" w:line="259" w:lineRule="auto"/>
      <w:ind w:left="936" w:right="936"/>
    </w:pPr>
    <w:rPr>
      <w:rFonts w:ascii="Calibri" w:eastAsia="Calibri" w:hAnsi="Calibri"/>
      <w:b/>
      <w:bCs/>
      <w:i/>
      <w:iCs/>
      <w:color w:val="4F81BD"/>
      <w:sz w:val="22"/>
      <w:szCs w:val="22"/>
      <w:lang w:eastAsia="en-US"/>
    </w:rPr>
  </w:style>
  <w:style w:type="character" w:customStyle="1" w:styleId="af5">
    <w:name w:val="Интензивно цитиране Знак"/>
    <w:basedOn w:val="a0"/>
    <w:link w:val="af4"/>
    <w:uiPriority w:val="30"/>
    <w:rsid w:val="005E640A"/>
    <w:rPr>
      <w:rFonts w:ascii="Calibri" w:eastAsia="Calibri" w:hAnsi="Calibri"/>
      <w:b/>
      <w:bCs/>
      <w:i/>
      <w:iCs/>
      <w:color w:val="4F81BD"/>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2E0"/>
    <w:rPr>
      <w:lang w:val="en-US"/>
    </w:rPr>
  </w:style>
  <w:style w:type="paragraph" w:styleId="1">
    <w:name w:val="heading 1"/>
    <w:basedOn w:val="a"/>
    <w:next w:val="a"/>
    <w:qFormat/>
    <w:rsid w:val="000C22E0"/>
    <w:pPr>
      <w:keepNext/>
      <w:spacing w:line="240" w:lineRule="atLeast"/>
      <w:ind w:left="3288" w:firstLine="4277"/>
      <w:jc w:val="both"/>
      <w:outlineLvl w:val="0"/>
    </w:pPr>
    <w:rPr>
      <w:rFonts w:ascii="Tahoma" w:hAnsi="Tahoma"/>
      <w:b/>
      <w:sz w:val="18"/>
      <w:lang w:val="bg-BG"/>
    </w:rPr>
  </w:style>
  <w:style w:type="paragraph" w:styleId="6">
    <w:name w:val="heading 6"/>
    <w:basedOn w:val="a"/>
    <w:next w:val="a"/>
    <w:qFormat/>
    <w:rsid w:val="000C22E0"/>
    <w:pPr>
      <w:keepNext/>
      <w:spacing w:line="360" w:lineRule="auto"/>
      <w:ind w:right="-568" w:firstLine="5670"/>
      <w:jc w:val="both"/>
      <w:outlineLvl w:val="5"/>
    </w:pPr>
    <w:rPr>
      <w:rFonts w:ascii="Tahoma" w:hAnsi="Tahoma"/>
      <w:b/>
      <w:lang w:val="bg-BG"/>
    </w:rPr>
  </w:style>
  <w:style w:type="paragraph" w:styleId="7">
    <w:name w:val="heading 7"/>
    <w:basedOn w:val="a"/>
    <w:next w:val="a"/>
    <w:qFormat/>
    <w:rsid w:val="000C22E0"/>
    <w:pPr>
      <w:spacing w:before="240" w:after="60"/>
      <w:outlineLvl w:val="6"/>
    </w:pPr>
    <w:rPr>
      <w:sz w:val="24"/>
      <w:szCs w:val="24"/>
    </w:rPr>
  </w:style>
  <w:style w:type="paragraph" w:styleId="9">
    <w:name w:val="heading 9"/>
    <w:basedOn w:val="a"/>
    <w:next w:val="a"/>
    <w:qFormat/>
    <w:rsid w:val="000C22E0"/>
    <w:pPr>
      <w:keepNext/>
      <w:spacing w:line="240" w:lineRule="atLeast"/>
      <w:ind w:right="1984"/>
      <w:jc w:val="center"/>
      <w:outlineLvl w:val="8"/>
    </w:pPr>
    <w:rPr>
      <w:rFonts w:ascii="Tahoma" w:hAnsi="Tahoma"/>
      <w:b/>
      <w:sz w:val="22"/>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0C22E0"/>
    <w:pPr>
      <w:spacing w:before="60"/>
      <w:ind w:right="67" w:firstLine="567"/>
      <w:jc w:val="both"/>
    </w:pPr>
    <w:rPr>
      <w:rFonts w:ascii="Tahoma" w:hAnsi="Tahoma"/>
      <w:sz w:val="18"/>
      <w:lang w:val="bg-BG"/>
    </w:rPr>
  </w:style>
  <w:style w:type="paragraph" w:styleId="2">
    <w:name w:val="Body Text Indent 2"/>
    <w:basedOn w:val="a"/>
    <w:semiHidden/>
    <w:rsid w:val="000C22E0"/>
    <w:pPr>
      <w:spacing w:before="60" w:after="160"/>
      <w:ind w:right="67" w:firstLine="562"/>
      <w:jc w:val="both"/>
    </w:pPr>
    <w:rPr>
      <w:rFonts w:ascii="Tahoma" w:hAnsi="Tahoma"/>
      <w:sz w:val="18"/>
      <w:lang w:val="bg-BG"/>
    </w:rPr>
  </w:style>
  <w:style w:type="paragraph" w:styleId="a4">
    <w:name w:val="header"/>
    <w:basedOn w:val="a"/>
    <w:link w:val="a5"/>
    <w:uiPriority w:val="99"/>
    <w:unhideWhenUsed/>
    <w:rsid w:val="009B6571"/>
    <w:pPr>
      <w:tabs>
        <w:tab w:val="center" w:pos="4536"/>
        <w:tab w:val="right" w:pos="9072"/>
      </w:tabs>
    </w:pPr>
  </w:style>
  <w:style w:type="character" w:customStyle="1" w:styleId="a5">
    <w:name w:val="Горен колонтитул Знак"/>
    <w:link w:val="a4"/>
    <w:uiPriority w:val="99"/>
    <w:rsid w:val="009B6571"/>
    <w:rPr>
      <w:lang w:val="en-US"/>
    </w:rPr>
  </w:style>
  <w:style w:type="paragraph" w:styleId="a6">
    <w:name w:val="footer"/>
    <w:basedOn w:val="a"/>
    <w:link w:val="a7"/>
    <w:uiPriority w:val="99"/>
    <w:unhideWhenUsed/>
    <w:rsid w:val="009B6571"/>
    <w:pPr>
      <w:tabs>
        <w:tab w:val="center" w:pos="4536"/>
        <w:tab w:val="right" w:pos="9072"/>
      </w:tabs>
    </w:pPr>
  </w:style>
  <w:style w:type="character" w:customStyle="1" w:styleId="a7">
    <w:name w:val="Долен колонтитул Знак"/>
    <w:link w:val="a6"/>
    <w:uiPriority w:val="99"/>
    <w:rsid w:val="009B6571"/>
    <w:rPr>
      <w:lang w:val="en-US"/>
    </w:rPr>
  </w:style>
  <w:style w:type="table" w:styleId="a8">
    <w:name w:val="Table Grid"/>
    <w:basedOn w:val="a1"/>
    <w:uiPriority w:val="39"/>
    <w:rsid w:val="003449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Balloon Text"/>
    <w:basedOn w:val="a"/>
    <w:link w:val="aa"/>
    <w:uiPriority w:val="99"/>
    <w:semiHidden/>
    <w:unhideWhenUsed/>
    <w:rsid w:val="008B2A76"/>
    <w:rPr>
      <w:rFonts w:ascii="Tahoma" w:hAnsi="Tahoma" w:cs="Tahoma"/>
      <w:sz w:val="16"/>
      <w:szCs w:val="16"/>
    </w:rPr>
  </w:style>
  <w:style w:type="character" w:customStyle="1" w:styleId="aa">
    <w:name w:val="Изнесен текст Знак"/>
    <w:basedOn w:val="a0"/>
    <w:link w:val="a9"/>
    <w:uiPriority w:val="99"/>
    <w:semiHidden/>
    <w:rsid w:val="008B2A76"/>
    <w:rPr>
      <w:rFonts w:ascii="Tahoma" w:hAnsi="Tahoma" w:cs="Tahoma"/>
      <w:sz w:val="16"/>
      <w:szCs w:val="16"/>
      <w:lang w:val="en-US"/>
    </w:rPr>
  </w:style>
  <w:style w:type="paragraph" w:styleId="ab">
    <w:name w:val="Title"/>
    <w:basedOn w:val="a"/>
    <w:link w:val="ac"/>
    <w:qFormat/>
    <w:rsid w:val="00364FB6"/>
    <w:pPr>
      <w:widowControl w:val="0"/>
      <w:tabs>
        <w:tab w:val="left" w:pos="-720"/>
      </w:tabs>
      <w:suppressAutoHyphens/>
      <w:jc w:val="center"/>
    </w:pPr>
    <w:rPr>
      <w:b/>
      <w:snapToGrid w:val="0"/>
      <w:sz w:val="48"/>
      <w:lang w:eastAsia="en-US"/>
    </w:rPr>
  </w:style>
  <w:style w:type="character" w:customStyle="1" w:styleId="ac">
    <w:name w:val="Заглавие Знак"/>
    <w:basedOn w:val="a0"/>
    <w:link w:val="ab"/>
    <w:rsid w:val="00364FB6"/>
    <w:rPr>
      <w:b/>
      <w:snapToGrid w:val="0"/>
      <w:sz w:val="48"/>
      <w:lang w:val="en-US" w:eastAsia="en-US"/>
    </w:rPr>
  </w:style>
  <w:style w:type="character" w:styleId="ad">
    <w:name w:val="Hyperlink"/>
    <w:uiPriority w:val="99"/>
    <w:rsid w:val="00364FB6"/>
    <w:rPr>
      <w:color w:val="0000FF"/>
      <w:u w:val="single"/>
    </w:rPr>
  </w:style>
  <w:style w:type="paragraph" w:styleId="ae">
    <w:name w:val="List Paragraph"/>
    <w:basedOn w:val="a"/>
    <w:uiPriority w:val="34"/>
    <w:qFormat/>
    <w:rsid w:val="0099154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tateaid.minfin.bg/bg/page/424"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opic.bg/opik/rkovodstvo-za-izplnenie-na-dbfp-po-operativna-programa-inovatsii-i-konkurentosposobnost-2014-2020" TargetMode="External"/><Relationship Id="rId2" Type="http://schemas.openxmlformats.org/officeDocument/2006/relationships/styles" Target="styles.xml"/><Relationship Id="rId16" Type="http://schemas.openxmlformats.org/officeDocument/2006/relationships/theme" Target="theme/theme1.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opic.bg/informatsiya-i-publichnost/grafichni-iziskvaniy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ngarov\Documents\MIG%202017\&#1055;&#1080;&#1089;&#1084;&#1072;\Letter%20&#1064;&#1072;&#1073;&#1083;&#1086;&#1085;1%20%20.dotx"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 Шаблон1  .dotx</Template>
  <TotalTime>35</TotalTime>
  <Pages>9</Pages>
  <Words>3266</Words>
  <Characters>18620</Characters>
  <Application>Microsoft Office Word</Application>
  <DocSecurity>0</DocSecurity>
  <Lines>155</Lines>
  <Paragraphs>43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Hewlett-Packard</Company>
  <LinksUpToDate>false</LinksUpToDate>
  <CharactersWithSpaces>21843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creator>chingarov</dc:creator>
  <cp:lastModifiedBy>chingarov</cp:lastModifiedBy>
  <cp:revision>8</cp:revision>
  <cp:lastPrinted>2018-10-04T14:07:00Z</cp:lastPrinted>
  <dcterms:created xsi:type="dcterms:W3CDTF">2018-10-03T20:56:00Z</dcterms:created>
  <dcterms:modified xsi:type="dcterms:W3CDTF">2018-11-01T23:10:00Z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-452109984</vt:i4>
  </property>
  <property fmtid="{D5CDD505-2E9C-101B-9397-08002B2CF9AE}" pid="3" name="_EmailSubject">
    <vt:lpwstr/>
  </property>
  <property fmtid="{D5CDD505-2E9C-101B-9397-08002B2CF9AE}" pid="4" name="_AuthorEmail">
    <vt:lpwstr>IBerov@az.government.bg</vt:lpwstr>
  </property>
  <property fmtid="{D5CDD505-2E9C-101B-9397-08002B2CF9AE}" pid="5" name="_AuthorEmailDisplayName">
    <vt:lpwstr>Ivo Berov</vt:lpwstr>
  </property>
  <property fmtid="{D5CDD505-2E9C-101B-9397-08002B2CF9AE}" pid="6" name="_ReviewingToolsShownOnce">
    <vt:lpwstr/>
  </property>
</Properties>
</file>